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6"/>
          <w:szCs w:val="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2vhb6vzcr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hnfgnofw68g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04/24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A SEREM CUSTEADOS COM RECURSOS DA POLÍTICA NACIONAL ALDIR BLANC DE FOMENTO À CULTURA – PNAB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ANEXO VIII - DECLARAÇÃO PESSOA COM DEFICIÊNCIA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pessoa com deficiência,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nos termos da Lei nº 13.146, de 6 de julho de 2015, possuindo a seguinte deficiência: __________________________________________________.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12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400050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-104774</wp:posOffset>
              </wp:positionV>
              <wp:extent cx="1247775" cy="636270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750688" y="3490440"/>
                        <a:ext cx="11906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-104774</wp:posOffset>
              </wp:positionV>
              <wp:extent cx="1247775" cy="636270"/>
              <wp:effectExtent b="0" l="0" r="0" t="0"/>
              <wp:wrapNone/>
              <wp:docPr id="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7775" cy="636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1447800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5495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qImST9e78ITvKTYjCbpvpFUDg==">CgMxLjAyCGguZ2pkZ3hzMg1oLjQydmhiNnZ6Y3IzMg1oLmhuZmdub2Z3NjhnOAByITFtTXB4NkxfQTJ4UWI5Vm5aMmdyTnFYR0NEdjVyQk5uYQ==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