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jc w:val="center"/>
        <w:rPr>
          <w:rFonts w:ascii="Calibri" w:cs="Calibri" w:eastAsia="Calibri" w:hAnsi="Calibri"/>
          <w:b w:val="1"/>
          <w:sz w:val="24"/>
          <w:szCs w:val="24"/>
        </w:rPr>
      </w:pPr>
      <w:bookmarkStart w:colFirst="0" w:colLast="0" w:name="_heading=h.kb21pid5mtje" w:id="0"/>
      <w:bookmarkEnd w:id="0"/>
      <w:r w:rsidDel="00000000" w:rsidR="00000000" w:rsidRPr="00000000">
        <w:rPr>
          <w:rFonts w:ascii="Calibri" w:cs="Calibri" w:eastAsia="Calibri" w:hAnsi="Calibri"/>
          <w:b w:val="1"/>
          <w:sz w:val="24"/>
          <w:szCs w:val="24"/>
          <w:rtl w:val="0"/>
        </w:rPr>
        <w:t xml:space="preserve">INSTITUTO MUNICIPAL DE CULTURA DE PETRÓPOLIS</w:t>
      </w:r>
    </w:p>
    <w:p w:rsidR="00000000" w:rsidDel="00000000" w:rsidP="00000000" w:rsidRDefault="00000000" w:rsidRPr="00000000" w14:paraId="00000002">
      <w:pPr>
        <w:shd w:fill="ffffff" w:val="clea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FUNDO MUNICIPAL DE CULTURA DE PETRÓPOLIS</w:t>
      </w:r>
    </w:p>
    <w:p w:rsidR="00000000" w:rsidDel="00000000" w:rsidP="00000000" w:rsidRDefault="00000000" w:rsidRPr="00000000" w14:paraId="00000003">
      <w:pPr>
        <w:shd w:fill="ffffff" w:val="clear"/>
        <w:spacing w:after="240" w:before="240" w:line="240" w:lineRule="auto"/>
        <w:jc w:val="center"/>
        <w:rPr>
          <w:rFonts w:ascii="Calibri" w:cs="Calibri" w:eastAsia="Calibri" w:hAnsi="Calibri"/>
          <w:b w:val="1"/>
          <w:sz w:val="24"/>
          <w:szCs w:val="24"/>
        </w:rPr>
      </w:pPr>
      <w:bookmarkStart w:colFirst="0" w:colLast="0" w:name="_heading=h.zgnmheqo50qc" w:id="1"/>
      <w:bookmarkEnd w:id="1"/>
      <w:r w:rsidDel="00000000" w:rsidR="00000000" w:rsidRPr="00000000">
        <w:rPr>
          <w:rtl w:val="0"/>
        </w:rPr>
      </w:r>
    </w:p>
    <w:p w:rsidR="00000000" w:rsidDel="00000000" w:rsidP="00000000" w:rsidRDefault="00000000" w:rsidRPr="00000000" w14:paraId="00000004">
      <w:pPr>
        <w:spacing w:after="120" w:before="120" w:line="240" w:lineRule="auto"/>
        <w:ind w:right="12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CHAMAMENTO PÚBLICO 07/24</w:t>
      </w:r>
      <w:r w:rsidDel="00000000" w:rsidR="00000000" w:rsidRPr="00000000">
        <w:rPr>
          <w:rtl w:val="0"/>
        </w:rPr>
      </w:r>
    </w:p>
    <w:p w:rsidR="00000000" w:rsidDel="00000000" w:rsidP="00000000" w:rsidRDefault="00000000" w:rsidRPr="00000000" w14:paraId="00000005">
      <w:pPr>
        <w:shd w:fill="ffffff" w:val="clear"/>
        <w:spacing w:after="120" w:before="120" w:lineRule="auto"/>
        <w:ind w:left="120" w:right="1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hd w:fill="ffffff" w:val="clear"/>
        <w:spacing w:after="120" w:before="12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SELEÇÃO DE PROJETOS A SEREM CUSTEADOS COM RECURSOS DO FUNDO MUNICIPAL DE CULTURA DE PETRÓPOLIS</w:t>
      </w:r>
    </w:p>
    <w:p w:rsidR="00000000" w:rsidDel="00000000" w:rsidP="00000000" w:rsidRDefault="00000000" w:rsidRPr="00000000" w14:paraId="00000007">
      <w:pPr>
        <w:shd w:fill="ffffff" w:val="clear"/>
        <w:spacing w:after="120" w:before="120" w:line="276" w:lineRule="auto"/>
        <w:ind w:left="120" w:right="12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ANEXO I – CATEGORIAS DE APOIO</w:t>
      </w:r>
    </w:p>
    <w:p w:rsidR="00000000" w:rsidDel="00000000" w:rsidP="00000000" w:rsidRDefault="00000000" w:rsidRPr="00000000" w14:paraId="00000009">
      <w:pPr>
        <w:shd w:fill="ffffff" w:val="clea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hd w:fill="ffffff" w:val="clear"/>
        <w:spacing w:after="200" w:befor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RECURSOS DO EDITAL</w:t>
      </w:r>
    </w:p>
    <w:p w:rsidR="00000000" w:rsidDel="00000000" w:rsidP="00000000" w:rsidRDefault="00000000" w:rsidRPr="00000000" w14:paraId="0000000B">
      <w:pPr>
        <w:shd w:fill="ffffff" w:val="clear"/>
        <w:spacing w:after="120" w:before="120" w:line="276" w:lineRule="auto"/>
        <w:ind w:left="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presente edital possui alor total de </w:t>
      </w:r>
      <w:r w:rsidDel="00000000" w:rsidR="00000000" w:rsidRPr="00000000">
        <w:rPr>
          <w:rFonts w:ascii="Calibri" w:cs="Calibri" w:eastAsia="Calibri" w:hAnsi="Calibri"/>
          <w:b w:val="1"/>
          <w:sz w:val="24"/>
          <w:szCs w:val="24"/>
          <w:rtl w:val="0"/>
        </w:rPr>
        <w:t xml:space="preserve">R$530,000,00</w:t>
      </w:r>
      <w:r w:rsidDel="00000000" w:rsidR="00000000" w:rsidRPr="00000000">
        <w:rPr>
          <w:rFonts w:ascii="Calibri" w:cs="Calibri" w:eastAsia="Calibri" w:hAnsi="Calibri"/>
          <w:sz w:val="24"/>
          <w:szCs w:val="24"/>
          <w:rtl w:val="0"/>
        </w:rPr>
        <w:t xml:space="preserve"> (quinhentos e trinta mil reais), distribuídos da seguinte forma:</w:t>
      </w:r>
    </w:p>
    <w:p w:rsidR="00000000" w:rsidDel="00000000" w:rsidP="00000000" w:rsidRDefault="00000000" w:rsidRPr="00000000" w14:paraId="0000000C">
      <w:pPr>
        <w:shd w:fill="ffffff" w:val="clear"/>
        <w:spacing w:after="120" w:before="120" w:line="276" w:lineRule="auto"/>
        <w:ind w:left="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sz w:val="6"/>
          <w:szCs w:val="6"/>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6"/>
          <w:szCs w:val="6"/>
        </w:rPr>
      </w:pPr>
      <w:r w:rsidDel="00000000" w:rsidR="00000000" w:rsidRPr="00000000">
        <w:rPr>
          <w:rtl w:val="0"/>
        </w:rPr>
      </w:r>
    </w:p>
    <w:sdt>
      <w:sdtPr>
        <w:lock w:val="contentLocked"/>
        <w:tag w:val="goog_rdk_0"/>
      </w:sdtPr>
      <w:sdtContent>
        <w:tbl>
          <w:tblPr>
            <w:tblStyle w:val="Table1"/>
            <w:tblW w:w="861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975"/>
            <w:gridCol w:w="1005"/>
            <w:gridCol w:w="645"/>
            <w:gridCol w:w="840"/>
            <w:gridCol w:w="735"/>
            <w:gridCol w:w="1440"/>
            <w:gridCol w:w="1545"/>
            <w:tblGridChange w:id="0">
              <w:tblGrid>
                <w:gridCol w:w="1425"/>
                <w:gridCol w:w="975"/>
                <w:gridCol w:w="1005"/>
                <w:gridCol w:w="645"/>
                <w:gridCol w:w="840"/>
                <w:gridCol w:w="735"/>
                <w:gridCol w:w="1440"/>
                <w:gridCol w:w="1545"/>
              </w:tblGrid>
            </w:tblGridChange>
          </w:tblGrid>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Categorias</w:t>
                </w:r>
              </w:p>
            </w:tc>
            <w:tc>
              <w:tcPr>
                <w:vMerge w:val="restart"/>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Nº Total de selecionados</w:t>
                </w:r>
              </w:p>
            </w:tc>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Vagas</w:t>
                </w:r>
              </w:p>
            </w:tc>
            <w:tc>
              <w:tcPr>
                <w:vMerge w:val="restart"/>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5">
                <w:pPr>
                  <w:widowControl w:val="0"/>
                  <w:spacing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Valor de cada projeto</w:t>
                </w:r>
              </w:p>
            </w:tc>
            <w:tc>
              <w:tcPr>
                <w:vMerge w:val="restart"/>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40" w:lineRule="auto"/>
                  <w:jc w:val="right"/>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Valor total da categoria</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9">
                <w:pPr>
                  <w:widowControl w:val="0"/>
                  <w:spacing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Ampla concorrência</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A">
                <w:pPr>
                  <w:widowControl w:val="0"/>
                  <w:spacing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Pessoas Negras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B">
                <w:pPr>
                  <w:widowControl w:val="0"/>
                  <w:spacing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Pessoas Indígenas</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C">
                <w:pPr>
                  <w:widowControl w:val="0"/>
                  <w:spacing w:line="24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PCDs</w:t>
                </w:r>
              </w:p>
            </w:tc>
            <w:tc>
              <w:tcPr>
                <w:vMerge w:val="continue"/>
                <w:tcBorders>
                  <w:top w:color="000000"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Categoria 1 - proponente  Pessoa Jurídica</w:t>
                </w:r>
              </w:p>
            </w:tc>
            <w:tc>
              <w:tcPr>
                <w:tcBorders>
                  <w:top w:color="000000"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0">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gridSpan w:val="2"/>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R$50.000,00</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R$200.000,00</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Categoria 2 - proponente  Pessoa Jurídica</w:t>
                </w:r>
              </w:p>
            </w:tc>
            <w:tc>
              <w:tcPr>
                <w:tcBorders>
                  <w:top w:color="000000"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2E">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R$30.000,00</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R$240.000,00</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Categoria 3 - proponente  Pessoa Física</w:t>
                </w:r>
              </w:p>
              <w:p w:rsidR="00000000" w:rsidDel="00000000" w:rsidP="00000000" w:rsidRDefault="00000000" w:rsidRPr="00000000" w14:paraId="00000031">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INICIANTES</w:t>
                </w:r>
              </w:p>
            </w:tc>
            <w:tc>
              <w:tcPr>
                <w:tcBorders>
                  <w:top w:color="000000"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R$ 10.000,00</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R$ 90.000,00</w:t>
                </w:r>
              </w:p>
            </w:tc>
          </w:tr>
          <w:tr>
            <w:trPr>
              <w:cantSplit w:val="0"/>
              <w:trHeight w:val="585" w:hRule="atLeast"/>
              <w:tblHeader w:val="0"/>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R$530.000,00</w:t>
                </w:r>
              </w:p>
            </w:tc>
          </w:tr>
        </w:tbl>
      </w:sdtContent>
    </w:sdt>
    <w:p w:rsidR="00000000" w:rsidDel="00000000" w:rsidP="00000000" w:rsidRDefault="00000000" w:rsidRPr="00000000" w14:paraId="00000042">
      <w:pPr>
        <w:shd w:fill="ffffff" w:val="clear"/>
        <w:spacing w:after="200"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Conforme o item, 5 do edital, a distribuição das vagas das cotas seguiu o seguinte critério:</w:t>
      </w:r>
    </w:p>
    <w:p w:rsidR="00000000" w:rsidDel="00000000" w:rsidP="00000000" w:rsidRDefault="00000000" w:rsidRPr="00000000" w14:paraId="00000043">
      <w:pPr>
        <w:numPr>
          <w:ilvl w:val="0"/>
          <w:numId w:val="3"/>
        </w:numPr>
        <w:spacing w:after="120" w:before="120" w:lineRule="auto"/>
        <w:ind w:left="14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negras (pretas e pardas): 25% (vinte e cinco por cento) das vagas; </w:t>
      </w:r>
    </w:p>
    <w:p w:rsidR="00000000" w:rsidDel="00000000" w:rsidP="00000000" w:rsidRDefault="00000000" w:rsidRPr="00000000" w14:paraId="00000044">
      <w:pPr>
        <w:numPr>
          <w:ilvl w:val="0"/>
          <w:numId w:val="2"/>
        </w:numPr>
        <w:spacing w:after="120" w:before="120" w:lineRule="auto"/>
        <w:ind w:left="14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indígenas: 10% (dez por cento) das vagas; </w:t>
      </w:r>
    </w:p>
    <w:p w:rsidR="00000000" w:rsidDel="00000000" w:rsidP="00000000" w:rsidRDefault="00000000" w:rsidRPr="00000000" w14:paraId="00000045">
      <w:pPr>
        <w:numPr>
          <w:ilvl w:val="0"/>
          <w:numId w:val="1"/>
        </w:numPr>
        <w:spacing w:after="120" w:before="120" w:lineRule="auto"/>
        <w:ind w:left="148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pessoas com deficiência: 5% (cinco por cento) das vagas; </w:t>
      </w:r>
    </w:p>
    <w:p w:rsidR="00000000" w:rsidDel="00000000" w:rsidP="00000000" w:rsidRDefault="00000000" w:rsidRPr="00000000" w14:paraId="00000046">
      <w:pPr>
        <w:spacing w:after="120" w:before="12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after="120" w:before="12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Nos casos em que houve quantitativo fracionado para o número de vagas reservadas, esse foi aumentado para o primeiro número inteiro subsequente, em caso de fração igual ou maior que 0,5 (cinco décimos), ou diminuído para número inteiro imediatamente inferior, em caso de fração menor que 0,5 (cinco décimos). </w:t>
      </w:r>
    </w:p>
    <w:p w:rsidR="00000000" w:rsidDel="00000000" w:rsidP="00000000" w:rsidRDefault="00000000" w:rsidRPr="00000000" w14:paraId="00000048">
      <w:pPr>
        <w:shd w:fill="ffffff" w:val="clear"/>
        <w:spacing w:after="240" w:before="240" w:lineRule="auto"/>
        <w:jc w:val="both"/>
        <w:rPr>
          <w:rFonts w:ascii="Calibri" w:cs="Calibri" w:eastAsia="Calibri" w:hAnsi="Calibri"/>
          <w:sz w:val="24"/>
          <w:szCs w:val="24"/>
        </w:rPr>
      </w:pPr>
      <w:bookmarkStart w:colFirst="0" w:colLast="0" w:name="_heading=h.67i8j8ejchmz" w:id="2"/>
      <w:bookmarkEnd w:id="2"/>
      <w:r w:rsidDel="00000000" w:rsidR="00000000" w:rsidRPr="00000000">
        <w:rPr>
          <w:rtl w:val="0"/>
        </w:rPr>
      </w:r>
    </w:p>
    <w:p w:rsidR="00000000" w:rsidDel="00000000" w:rsidP="00000000" w:rsidRDefault="00000000" w:rsidRPr="00000000" w14:paraId="00000049">
      <w:pPr>
        <w:spacing w:after="120" w:before="12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spacing w:after="120" w:before="12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hd w:fill="ffffff" w:val="clear"/>
        <w:spacing w:after="200" w:befor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hd w:fill="ffffff" w:val="clear"/>
        <w:spacing w:after="200" w:before="240" w:lineRule="auto"/>
        <w:jc w:val="both"/>
        <w:rPr>
          <w:rFonts w:ascii="Calibri" w:cs="Calibri" w:eastAsia="Calibri" w:hAnsi="Calibri"/>
          <w:b w:val="1"/>
          <w:sz w:val="24"/>
          <w:szCs w:val="24"/>
          <w:u w:val="single"/>
        </w:rPr>
      </w:pPr>
      <w:r w:rsidDel="00000000" w:rsidR="00000000" w:rsidRPr="00000000">
        <w:rPr>
          <w:rtl w:val="0"/>
        </w:rPr>
      </w:r>
    </w:p>
    <w:sectPr>
      <w:headerReference r:id="rId7" w:type="default"/>
      <w:pgSz w:h="16834" w:w="11909" w:orient="portrait"/>
      <w:pgMar w:bottom="1440" w:top="1440" w:left="1559.055118110236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438150</wp:posOffset>
          </wp:positionH>
          <wp:positionV relativeFrom="paragraph">
            <wp:posOffset>9527</wp:posOffset>
          </wp:positionV>
          <wp:extent cx="1181100" cy="523875"/>
          <wp:effectExtent b="0" l="0" r="0" t="0"/>
          <wp:wrapNone/>
          <wp:docPr id="30" name="image2.png"/>
          <a:graphic>
            <a:graphicData uri="http://schemas.openxmlformats.org/drawingml/2006/picture">
              <pic:pic>
                <pic:nvPicPr>
                  <pic:cNvPr id="0" name="image2.png"/>
                  <pic:cNvPicPr preferRelativeResize="0"/>
                </pic:nvPicPr>
                <pic:blipFill>
                  <a:blip r:embed="rId1"/>
                  <a:srcRect b="0" l="0" r="-5084" t="0"/>
                  <a:stretch>
                    <a:fillRect/>
                  </a:stretch>
                </pic:blipFill>
                <pic:spPr>
                  <a:xfrm>
                    <a:off x="0" y="0"/>
                    <a:ext cx="1181100"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1466850</wp:posOffset>
          </wp:positionH>
          <wp:positionV relativeFrom="paragraph">
            <wp:posOffset>9525</wp:posOffset>
          </wp:positionV>
          <wp:extent cx="4011295" cy="519430"/>
          <wp:effectExtent b="0" l="0" r="0" t="0"/>
          <wp:wrapNone/>
          <wp:docPr id="31"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011295" cy="519430"/>
                  </a:xfrm>
                  <a:prstGeom prst="rect"/>
                  <a:ln/>
                </pic:spPr>
              </pic:pic>
            </a:graphicData>
          </a:graphic>
        </wp:anchor>
      </w:drawing>
    </w:r>
  </w:p>
  <w:p w:rsidR="00000000" w:rsidDel="00000000" w:rsidP="00000000" w:rsidRDefault="00000000" w:rsidRPr="00000000" w14:paraId="0000004E">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304800</wp:posOffset>
              </wp:positionV>
              <wp:extent cx="5875020" cy="79375"/>
              <wp:effectExtent b="0" l="0" r="0" t="0"/>
              <wp:wrapNone/>
              <wp:docPr id="29"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304800</wp:posOffset>
              </wp:positionV>
              <wp:extent cx="5875020" cy="79375"/>
              <wp:effectExtent b="0" l="0" r="0" t="0"/>
              <wp:wrapNone/>
              <wp:docPr id="2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875020" cy="79375"/>
                      </a:xfrm>
                      <a:prstGeom prst="rect"/>
                      <a:ln/>
                    </pic:spPr>
                  </pic:pic>
                </a:graphicData>
              </a:graphic>
            </wp:anchor>
          </w:drawing>
        </mc:Fallback>
      </mc:AlternateContent>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3448FC"/>
    <w:pPr>
      <w:tabs>
        <w:tab w:val="center" w:pos="4252"/>
        <w:tab w:val="right" w:pos="8504"/>
      </w:tabs>
      <w:spacing w:line="240" w:lineRule="auto"/>
    </w:pPr>
  </w:style>
  <w:style w:type="character" w:styleId="CabealhoChar" w:customStyle="1">
    <w:name w:val="Cabeçalho Char"/>
    <w:basedOn w:val="Fontepargpadro"/>
    <w:link w:val="Cabealho"/>
    <w:uiPriority w:val="99"/>
    <w:rsid w:val="003448FC"/>
  </w:style>
  <w:style w:type="paragraph" w:styleId="Rodap">
    <w:name w:val="footer"/>
    <w:basedOn w:val="Normal"/>
    <w:link w:val="RodapChar"/>
    <w:uiPriority w:val="99"/>
    <w:unhideWhenUsed w:val="1"/>
    <w:rsid w:val="003448FC"/>
    <w:pPr>
      <w:tabs>
        <w:tab w:val="center" w:pos="4252"/>
        <w:tab w:val="right" w:pos="8504"/>
      </w:tabs>
      <w:spacing w:line="240" w:lineRule="auto"/>
    </w:pPr>
  </w:style>
  <w:style w:type="character" w:styleId="RodapChar" w:customStyle="1">
    <w:name w:val="Rodapé Char"/>
    <w:basedOn w:val="Fontepargpadro"/>
    <w:link w:val="Rodap"/>
    <w:uiPriority w:val="99"/>
    <w:rsid w:val="003448FC"/>
  </w:style>
  <w:style w:type="paragraph" w:styleId="PargrafodaLista">
    <w:name w:val="List Paragraph"/>
    <w:basedOn w:val="Normal"/>
    <w:uiPriority w:val="34"/>
    <w:qFormat w:val="1"/>
    <w:rsid w:val="008F7904"/>
    <w:pPr>
      <w:ind w:left="720"/>
      <w:contextualSpacing w:val="1"/>
    </w:pPr>
  </w:style>
  <w:style w:type="table" w:styleId="Tabelacomgrade">
    <w:name w:val="Table Grid"/>
    <w:basedOn w:val="Tabelanormal"/>
    <w:uiPriority w:val="39"/>
    <w:rsid w:val="000839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hovt4wRJW6nbI1TD+f05IVmew==">CgMxLjAaHwoBMBIaChgICVIUChJ0YWJsZS50YXRoNGQxNGloenUyDmgua2IyMXBpZDVtdGplMg5oLnpnbm1oZXFvNTBxYzIOaC42N2k4ajhlamNobXo4AHIhMTFFWDJDaDJpbHlPNVNWaHhkbFpNSUxBOVJZb2Y3Y2gy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2024-06-05T13:15:00Z</dcterms:created>
  <dc:creator>Leonardo Cerqueira</dc:creator>
</cp:coreProperties>
</file>