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uzenopxwx8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07/24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DO FUNDO MUNICIPAL DE CULTURA DE PETRÓPOLIS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20" w:before="120" w:lineRule="auto"/>
        <w:ind w:right="12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ANEXO VII - DECLARAÇÃO ÉTNICO-RACIAL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13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17767</wp:posOffset>
          </wp:positionV>
          <wp:extent cx="1181100" cy="523875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93QAHfepqyWppOiUlMpo4DDvw==">CgMxLjAyCGguZ2pkZ3hzMg5oLnV6ZW5vcHh3eDh0ZTgAciExRExYTWtUZjRtdEZxT2I0XzZ5dzdqOWZpT1hDQVVwbVM=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