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rFonts w:ascii="Calibri" w:cs="Calibri" w:eastAsia="Calibri" w:hAnsi="Calibri"/>
          <w:b w:val="1"/>
          <w:sz w:val="24"/>
          <w:szCs w:val="24"/>
          <w:highlight w:val="white"/>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highlight w:val="white"/>
          <w:rtl w:val="0"/>
        </w:rPr>
        <w:t xml:space="preserve">INSTITUTO MUNICIPAL DE CULTURA DE PETRÓPOLIS</w:t>
      </w:r>
    </w:p>
    <w:p w:rsidR="00000000" w:rsidDel="00000000" w:rsidP="00000000" w:rsidRDefault="00000000" w:rsidRPr="00000000" w14:paraId="00000002">
      <w:pPr>
        <w:shd w:fill="ffffff" w:val="clear"/>
        <w:spacing w:after="240" w:before="240" w:lineRule="auto"/>
        <w:jc w:val="center"/>
        <w:rPr>
          <w:rFonts w:ascii="Calibri" w:cs="Calibri" w:eastAsia="Calibri" w:hAnsi="Calibri"/>
          <w:b w:val="1"/>
          <w:sz w:val="24"/>
          <w:szCs w:val="24"/>
          <w:highlight w:val="white"/>
        </w:rPr>
      </w:pPr>
      <w:bookmarkStart w:colFirst="0" w:colLast="0" w:name="_heading=h.1zxsmznk29re" w:id="1"/>
      <w:bookmarkEnd w:id="1"/>
      <w:r w:rsidDel="00000000" w:rsidR="00000000" w:rsidRPr="00000000">
        <w:rPr>
          <w:rFonts w:ascii="Calibri" w:cs="Calibri" w:eastAsia="Calibri" w:hAnsi="Calibri"/>
          <w:b w:val="1"/>
          <w:sz w:val="24"/>
          <w:szCs w:val="24"/>
          <w:highlight w:val="white"/>
          <w:rtl w:val="0"/>
        </w:rPr>
        <w:t xml:space="preserve">FUNDO MUNICIPAL DE CULTURA DE PETRÓPOLIS</w:t>
      </w:r>
    </w:p>
    <w:p w:rsidR="00000000" w:rsidDel="00000000" w:rsidP="00000000" w:rsidRDefault="00000000" w:rsidRPr="00000000" w14:paraId="00000003">
      <w:pPr>
        <w:shd w:fill="ffffff" w:val="clear"/>
        <w:spacing w:after="240" w:before="240" w:lineRule="auto"/>
        <w:jc w:val="center"/>
        <w:rPr>
          <w:rFonts w:ascii="Calibri" w:cs="Calibri" w:eastAsia="Calibri" w:hAnsi="Calibri"/>
          <w:b w:val="1"/>
          <w:sz w:val="24"/>
          <w:szCs w:val="24"/>
        </w:rPr>
      </w:pPr>
      <w:bookmarkStart w:colFirst="0" w:colLast="0" w:name="_heading=h.xhppd8njbuqo" w:id="2"/>
      <w:bookmarkEnd w:id="2"/>
      <w:r w:rsidDel="00000000" w:rsidR="00000000" w:rsidRPr="00000000">
        <w:rPr>
          <w:rFonts w:ascii="Calibri" w:cs="Calibri" w:eastAsia="Calibri" w:hAnsi="Calibri"/>
          <w:b w:val="1"/>
          <w:sz w:val="24"/>
          <w:szCs w:val="24"/>
          <w:rtl w:val="0"/>
        </w:rPr>
        <w:t xml:space="preserve">REDE MUNICIPAL DE PONTOS DE CULTURA DE PETRÓPOLIS - RJ</w:t>
      </w:r>
    </w:p>
    <w:p w:rsidR="00000000" w:rsidDel="00000000" w:rsidP="00000000" w:rsidRDefault="00000000" w:rsidRPr="00000000" w14:paraId="00000004">
      <w:pPr>
        <w:shd w:fill="ffffff" w:val="clear"/>
        <w:spacing w:after="240" w:before="240" w:lineRule="auto"/>
        <w:jc w:val="center"/>
        <w:rPr>
          <w:rFonts w:ascii="Calibri" w:cs="Calibri" w:eastAsia="Calibri" w:hAnsi="Calibri"/>
          <w:b w:val="1"/>
          <w:sz w:val="16"/>
          <w:szCs w:val="16"/>
        </w:rPr>
      </w:pPr>
      <w:bookmarkStart w:colFirst="0" w:colLast="0" w:name="_heading=h.x50bfaefv8r" w:id="3"/>
      <w:bookmarkEnd w:id="3"/>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rFonts w:ascii="Calibri" w:cs="Calibri" w:eastAsia="Calibri" w:hAnsi="Calibri"/>
          <w:sz w:val="24"/>
          <w:szCs w:val="24"/>
        </w:rPr>
      </w:pPr>
      <w:bookmarkStart w:colFirst="0" w:colLast="0" w:name="_heading=h.agc1g1uqfjcy" w:id="4"/>
      <w:bookmarkEnd w:id="4"/>
      <w:r w:rsidDel="00000000" w:rsidR="00000000" w:rsidRPr="00000000">
        <w:rPr>
          <w:rFonts w:ascii="Calibri" w:cs="Calibri" w:eastAsia="Calibri" w:hAnsi="Calibri"/>
          <w:b w:val="1"/>
          <w:sz w:val="24"/>
          <w:szCs w:val="24"/>
          <w:rtl w:val="0"/>
        </w:rPr>
        <w:t xml:space="preserve">CHAMAMENTO PÚBLICO </w:t>
      </w:r>
      <w:r w:rsidDel="00000000" w:rsidR="00000000" w:rsidRPr="00000000">
        <w:rPr>
          <w:rFonts w:ascii="Calibri" w:cs="Calibri" w:eastAsia="Calibri" w:hAnsi="Calibri"/>
          <w:b w:val="1"/>
          <w:sz w:val="24"/>
          <w:szCs w:val="24"/>
          <w:rtl w:val="0"/>
        </w:rPr>
        <w:t xml:space="preserve">03/2024 </w:t>
      </w: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FOMENTO A PROJETOS CONTINUADOS DE PONTOS DE CULTURA</w:t>
      </w:r>
    </w:p>
    <w:p w:rsidR="00000000" w:rsidDel="00000000" w:rsidP="00000000" w:rsidRDefault="00000000" w:rsidRPr="00000000" w14:paraId="00000007">
      <w:pPr>
        <w:shd w:fill="ffffff" w:val="clea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rFonts w:ascii="Calibri" w:cs="Calibri" w:eastAsia="Calibri" w:hAnsi="Calibri"/>
          <w:b w:val="1"/>
          <w:sz w:val="24"/>
          <w:szCs w:val="24"/>
          <w:u w:val="single"/>
        </w:rPr>
      </w:pPr>
      <w:bookmarkStart w:colFirst="0" w:colLast="0" w:name="_heading=h.az0l4vx2j9hg" w:id="5"/>
      <w:bookmarkEnd w:id="5"/>
      <w:r w:rsidDel="00000000" w:rsidR="00000000" w:rsidRPr="00000000">
        <w:rPr>
          <w:rFonts w:ascii="Calibri" w:cs="Calibri" w:eastAsia="Calibri" w:hAnsi="Calibri"/>
          <w:b w:val="1"/>
          <w:sz w:val="24"/>
          <w:szCs w:val="24"/>
          <w:u w:val="single"/>
          <w:rtl w:val="0"/>
        </w:rPr>
        <w:t xml:space="preserve">ANEXO X - MINUTA DE TERMO DE COMPROMISSO CULTURAL </w:t>
      </w:r>
    </w:p>
    <w:p w:rsidR="00000000" w:rsidDel="00000000" w:rsidP="00000000" w:rsidRDefault="00000000" w:rsidRPr="00000000" w14:paraId="00000009">
      <w:pPr>
        <w:shd w:fill="ffffff" w:val="clear"/>
        <w:spacing w:after="200" w:before="240" w:line="276" w:lineRule="auto"/>
        <w:jc w:val="center"/>
        <w:rPr>
          <w:rFonts w:ascii="Calibri" w:cs="Calibri" w:eastAsia="Calibri" w:hAnsi="Calibri"/>
          <w:b w:val="1"/>
          <w:i w:val="1"/>
          <w:color w:val="ff0000"/>
          <w:sz w:val="20"/>
          <w:szCs w:val="20"/>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color w:val="ff0000"/>
          <w:sz w:val="20"/>
          <w:szCs w:val="20"/>
          <w:u w:val="single"/>
          <w:rtl w:val="0"/>
        </w:rPr>
        <w:t xml:space="preserve">(Rubricar todas as páginas)</w:t>
      </w:r>
    </w:p>
    <w:p w:rsidR="00000000" w:rsidDel="00000000" w:rsidP="00000000" w:rsidRDefault="00000000" w:rsidRPr="00000000" w14:paraId="0000000A">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0B">
      <w:pPr>
        <w:shd w:fill="ffffff" w:val="clear"/>
        <w:spacing w:after="120" w:before="120" w:line="276" w:lineRule="auto"/>
        <w:jc w:val="both"/>
        <w:rPr>
          <w:rFonts w:ascii="Calibri" w:cs="Calibri" w:eastAsia="Calibri" w:hAnsi="Calibri"/>
          <w:b w:val="1"/>
          <w:color w:val="ff0000"/>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TERMO DE COMPROMISSO CULTURAL Nº ….……</w:t>
      </w:r>
      <w:r w:rsidDel="00000000" w:rsidR="00000000" w:rsidRPr="00000000">
        <w:rPr>
          <w:rFonts w:ascii="Calibri" w:cs="Calibri" w:eastAsia="Calibri" w:hAnsi="Calibri"/>
          <w:b w:val="1"/>
          <w:color w:val="ff0000"/>
          <w:sz w:val="24"/>
          <w:szCs w:val="24"/>
          <w:u w:val="single"/>
          <w:rtl w:val="0"/>
        </w:rPr>
        <w:t xml:space="preserve">/2024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0C">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1.    </w:t>
              <w:tab/>
              <w:t xml:space="preserve">FINALIDADE</w:t>
            </w:r>
          </w:p>
        </w:tc>
      </w:tr>
      <w:tr>
        <w:trPr>
          <w:cantSplit w:val="0"/>
          <w:trHeight w:val="241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0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Fundo Municipal de Cultura de Petrópoli</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sz w:val="24"/>
                <w:szCs w:val="24"/>
                <w:rtl w:val="0"/>
              </w:rPr>
              <w:t xml:space="preserve">representado pelo Instituto Municipal de Cultura de </w:t>
            </w:r>
            <w:r w:rsidDel="00000000" w:rsidR="00000000" w:rsidRPr="00000000">
              <w:rPr>
                <w:rFonts w:ascii="Calibri" w:cs="Calibri" w:eastAsia="Calibri" w:hAnsi="Calibri"/>
                <w:sz w:val="24"/>
                <w:szCs w:val="24"/>
                <w:rtl w:val="0"/>
              </w:rPr>
              <w:t xml:space="preserve"> Petrópolis</w:t>
            </w:r>
            <w:r w:rsidDel="00000000" w:rsidR="00000000" w:rsidRPr="00000000">
              <w:rPr>
                <w:rFonts w:ascii="Calibri" w:cs="Calibri" w:eastAsia="Calibri" w:hAnsi="Calibri"/>
                <w:sz w:val="24"/>
                <w:szCs w:val="24"/>
                <w:rtl w:val="0"/>
              </w:rPr>
              <w:t xml:space="preserve">, e a </w:t>
            </w:r>
            <w:r w:rsidDel="00000000" w:rsidR="00000000" w:rsidRPr="00000000">
              <w:rPr>
                <w:rFonts w:ascii="Calibri" w:cs="Calibri" w:eastAsia="Calibri" w:hAnsi="Calibri"/>
                <w:b w:val="1"/>
                <w:sz w:val="24"/>
                <w:szCs w:val="24"/>
                <w:rtl w:val="0"/>
              </w:rPr>
              <w:t xml:space="preserve">ENTIDADE CULTURAL</w:t>
            </w:r>
            <w:r w:rsidDel="00000000" w:rsidR="00000000" w:rsidRPr="00000000">
              <w:rPr>
                <w:rFonts w:ascii="Calibri" w:cs="Calibri" w:eastAsia="Calibri" w:hAnsi="Calibri"/>
                <w:sz w:val="24"/>
                <w:szCs w:val="24"/>
                <w:rtl w:val="0"/>
              </w:rPr>
              <w:t xml:space="preserve">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 e no </w:t>
            </w:r>
            <w:r w:rsidDel="00000000" w:rsidR="00000000" w:rsidRPr="00000000">
              <w:rPr>
                <w:rFonts w:ascii="Calibri" w:cs="Calibri" w:eastAsia="Calibri" w:hAnsi="Calibri"/>
                <w:sz w:val="24"/>
                <w:szCs w:val="24"/>
                <w:highlight w:val="white"/>
                <w:rtl w:val="0"/>
              </w:rPr>
              <w:t xml:space="preserve">Decreto Municipal N.º 595 de 29 de agosto de 2023</w:t>
            </w:r>
            <w:r w:rsidDel="00000000" w:rsidR="00000000" w:rsidRPr="00000000">
              <w:rPr>
                <w:rFonts w:ascii="Calibri" w:cs="Calibri" w:eastAsia="Calibri" w:hAnsi="Calibri"/>
                <w:sz w:val="24"/>
                <w:szCs w:val="24"/>
                <w:highlight w:val="white"/>
                <w:rtl w:val="0"/>
              </w:rPr>
              <w:t xml:space="preserve"> (decreto municipal de fomento)</w:t>
            </w: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00E">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0.861398349303"/>
        <w:gridCol w:w="1699.0797837017362"/>
        <w:gridCol w:w="1454.412294848686"/>
        <w:gridCol w:w="3031.1583341238975"/>
        <w:tblGridChange w:id="0">
          <w:tblGrid>
            <w:gridCol w:w="2840.861398349303"/>
            <w:gridCol w:w="1699.0797837017362"/>
            <w:gridCol w:w="1454.412294848686"/>
            <w:gridCol w:w="3031.1583341238975"/>
          </w:tblGrid>
        </w:tblGridChange>
      </w:tblGrid>
      <w:tr>
        <w:trPr>
          <w:cantSplit w:val="0"/>
          <w:trHeight w:val="525" w:hRule="atLeast"/>
          <w:tblHeader w:val="0"/>
        </w:trPr>
        <w:tc>
          <w:tcPr>
            <w:gridSpan w:val="4"/>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0F">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2.    </w:t>
              <w:tab/>
              <w:t xml:space="preserve">IDENTIFICAÇÃO DAS PARTES</w:t>
            </w:r>
          </w:p>
        </w:tc>
      </w:tr>
      <w:tr>
        <w:trPr>
          <w:cantSplit w:val="0"/>
          <w:trHeight w:val="525" w:hRule="atLeast"/>
          <w:tblHeader w:val="0"/>
        </w:trPr>
        <w:tc>
          <w:tcPr>
            <w:gridSpan w:val="4"/>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3">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2.1. ENTE PÚBLICO</w:t>
            </w:r>
          </w:p>
        </w:tc>
      </w:tr>
      <w:tr>
        <w:trPr>
          <w:cantSplit w:val="0"/>
          <w:trHeight w:val="91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7">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Razão Social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18">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1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1C">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1D">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0">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21">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4">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25">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8">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2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C">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2D">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E">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2F">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0">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Ato de nomeação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31">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gridSpan w:val="4"/>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4">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2.2. ENTIDADE CULTURAL</w:t>
            </w:r>
          </w:p>
        </w:tc>
      </w:tr>
      <w:tr>
        <w:trPr>
          <w:cantSplit w:val="0"/>
          <w:trHeight w:val="91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8">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Razão Social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3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3A">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D">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3E">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1">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42">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5">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46">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4A">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D">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4E">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F">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50">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51">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Endereço completo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52">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c>
      </w:tr>
    </w:tbl>
    <w:p w:rsidR="00000000" w:rsidDel="00000000" w:rsidP="00000000" w:rsidRDefault="00000000" w:rsidRPr="00000000" w14:paraId="00000055">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56">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3.    </w:t>
              <w:tab/>
              <w:t xml:space="preserve">OBJETO</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5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3.1. O presente Termo de Compromisso Cultural-TCC tem como objeto a execução de projeto selecionado no</w:t>
            </w:r>
            <w:r w:rsidDel="00000000" w:rsidR="00000000" w:rsidRPr="00000000">
              <w:rPr>
                <w:rFonts w:ascii="Calibri" w:cs="Calibri" w:eastAsia="Calibri" w:hAnsi="Calibri"/>
                <w:color w:val="ff0000"/>
                <w:sz w:val="24"/>
                <w:szCs w:val="24"/>
                <w:rtl w:val="0"/>
              </w:rPr>
              <w:t xml:space="preserve"> Edital CHAMADA PÚBLICA 03/2024</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que visa a promoção do acesso da população aos bens e aos serviços culturais nos territórios e comunidades onde atuam, nos termos da Política Nacional de Cultura Viva - PNCV, conforme Plano de Trabalho anexo.</w:t>
            </w:r>
          </w:p>
        </w:tc>
      </w:tr>
    </w:tbl>
    <w:p w:rsidR="00000000" w:rsidDel="00000000" w:rsidP="00000000" w:rsidRDefault="00000000" w:rsidRPr="00000000" w14:paraId="00000058">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tl w:val="0"/>
        </w:rPr>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5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4. OBRIGAÇÕES DAS PARTES</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5A">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4.1.   DO INSTITUTO MUNICIPAL DE CULTURA DE PETRÓPOLIS</w:t>
            </w:r>
          </w:p>
        </w:tc>
      </w:tr>
      <w:tr>
        <w:trPr>
          <w:cantSplit w:val="0"/>
          <w:trHeight w:val="24355.195312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5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Incumbe ao  INSTITUTO MUNICIPAL DE CULTURA DE PETRÓPOLIS observar as obrigações descritas na Instrução legislação de regência, e as seguintes responsabilidades:</w:t>
            </w:r>
          </w:p>
          <w:p w:rsidR="00000000" w:rsidDel="00000000" w:rsidP="00000000" w:rsidRDefault="00000000" w:rsidRPr="00000000" w14:paraId="0000005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coordenar a gestão da PNCV, no âmbito de sua esfera de atuação;</w:t>
            </w:r>
          </w:p>
          <w:p w:rsidR="00000000" w:rsidDel="00000000" w:rsidP="00000000" w:rsidRDefault="00000000" w:rsidRPr="00000000" w14:paraId="0000005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atuar em parceria federativa junto ao governo federal, governos estaduais, do Distrito Federal e municipais, e outras instituições, para efetivação dos objetivos da PNCV previstos em lei;</w:t>
            </w:r>
          </w:p>
          <w:p w:rsidR="00000000" w:rsidDel="00000000" w:rsidP="00000000" w:rsidRDefault="00000000" w:rsidRPr="00000000" w14:paraId="0000005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realizar planejamento de desenvolvimento da PNCV, observando o Plano Nacional de Cultura e planos de cultura locais;</w:t>
            </w:r>
          </w:p>
          <w:p w:rsidR="00000000" w:rsidDel="00000000" w:rsidP="00000000" w:rsidRDefault="00000000" w:rsidRPr="00000000" w14:paraId="0000005F">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IV - garantir recursos humanos, orçamentários, financeiros, logísticos e tecnológicos para implementação da PNCV e efetividade de seus resultados;</w:t>
            </w:r>
          </w:p>
          <w:p w:rsidR="00000000" w:rsidDel="00000000" w:rsidP="00000000" w:rsidRDefault="00000000" w:rsidRPr="00000000" w14:paraId="00000060">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 -  desenvolver uma gestão pública compartilhada e participativa, por meio da organização e institucionalização das instâncias, fóruns e espaços de diálogos institucionais entre os partícipes da PNCV, em sua área de abrangência territorial;</w:t>
            </w:r>
          </w:p>
          <w:p w:rsidR="00000000" w:rsidDel="00000000" w:rsidP="00000000" w:rsidRDefault="00000000" w:rsidRPr="00000000" w14:paraId="00000061">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VI - desenvolver as ações estruturantes da PNCV por meio de políticas públicas integradas visando a promoção em uma cultura de direitos humanos e de valorização da cidadania e da diversidade artística e cultural;</w:t>
            </w:r>
          </w:p>
          <w:p w:rsidR="00000000" w:rsidDel="00000000" w:rsidP="00000000" w:rsidRDefault="00000000" w:rsidRPr="00000000" w14:paraId="00000062">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VII - disponibilizar e manter em funcionamento o Cadastro Nacional dos Pontos e Pontões de Cultura, no âmbito de sua esfera de atuação;</w:t>
            </w:r>
          </w:p>
          <w:p w:rsidR="00000000" w:rsidDel="00000000" w:rsidP="00000000" w:rsidRDefault="00000000" w:rsidRPr="00000000" w14:paraId="00000063">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VIII - fomentar ações para qualificação e formação de gestores, dirigentes de entidades culturais e outros agentes envolvidos no âmbito da PNCV;</w:t>
            </w:r>
          </w:p>
          <w:p w:rsidR="00000000" w:rsidDel="00000000" w:rsidP="00000000" w:rsidRDefault="00000000" w:rsidRPr="00000000" w14:paraId="00000064">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IX - dar ciência da celebração de parcerias federativas, no que couber, aos conselhos de cultura, assembleias legislativas e câmaras municipais de vereadores para efeitos de acompanhamento e fiscalização;</w:t>
            </w:r>
          </w:p>
          <w:p w:rsidR="00000000" w:rsidDel="00000000" w:rsidP="00000000" w:rsidRDefault="00000000" w:rsidRPr="00000000" w14:paraId="00000065">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 - promover ações de publicidade da PNCV que proporcionem controle social, transparência pública e visibilidade das ações junto à sociedade;</w:t>
            </w:r>
          </w:p>
          <w:p w:rsidR="00000000" w:rsidDel="00000000" w:rsidP="00000000" w:rsidRDefault="00000000" w:rsidRPr="00000000" w14:paraId="00000066">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 - contribuir para o fortalecimento da atuação em redes territoriais, identitárias e temáticas no âmbito da PNCV;</w:t>
            </w:r>
          </w:p>
          <w:p w:rsidR="00000000" w:rsidDel="00000000" w:rsidP="00000000" w:rsidRDefault="00000000" w:rsidRPr="00000000" w14:paraId="0000006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XII - realizar os atos e os procedimentos relativos à formalização, execução, acompanhamento e análise da prestação de contas do presente TCC;</w:t>
            </w:r>
          </w:p>
          <w:p w:rsidR="00000000" w:rsidDel="00000000" w:rsidP="00000000" w:rsidRDefault="00000000" w:rsidRPr="00000000" w14:paraId="00000068">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XIII - realizar os procedimentos relativos à Tomada de Contas Especial, quando for o caso;</w:t>
            </w:r>
          </w:p>
          <w:p w:rsidR="00000000" w:rsidDel="00000000" w:rsidP="00000000" w:rsidRDefault="00000000" w:rsidRPr="00000000" w14:paraId="00000069">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XIV - cumprir com os procedimentos de transparência e publicidade atribuídos ao poder público conforme o disposto na Seção III da IN MinC nº 08 de 11 de maio de 2016; </w:t>
            </w:r>
          </w:p>
          <w:p w:rsidR="00000000" w:rsidDel="00000000" w:rsidP="00000000" w:rsidRDefault="00000000" w:rsidRPr="00000000" w14:paraId="0000006A">
            <w:pPr>
              <w:shd w:fill="ffffff" w:val="clear"/>
              <w:spacing w:after="120" w:before="120" w:line="276" w:lineRule="auto"/>
              <w:jc w:val="both"/>
              <w:rPr>
                <w:rFonts w:ascii="Calibri" w:cs="Calibri" w:eastAsia="Calibri" w:hAnsi="Calibri"/>
                <w:sz w:val="24"/>
                <w:szCs w:val="24"/>
              </w:rPr>
            </w:pPr>
            <w:bookmarkStart w:colFirst="0" w:colLast="0" w:name="_heading=h.u0dx4ca4zj4k" w:id="7"/>
            <w:bookmarkEnd w:id="7"/>
            <w:r w:rsidDel="00000000" w:rsidR="00000000" w:rsidRPr="00000000">
              <w:rPr>
                <w:rFonts w:ascii="Calibri" w:cs="Calibri" w:eastAsia="Calibri" w:hAnsi="Calibri"/>
                <w:sz w:val="24"/>
                <w:szCs w:val="24"/>
                <w:rtl w:val="0"/>
              </w:rPr>
              <w:t xml:space="preserve">XV - repassar os recursos financeiros ao PONTO DE CULTURA, de acordo com a programação orçamentária e financeira do ente público, obedecendo ao cronograma financeiro constante deste instrumento e do plano de trabalho;</w:t>
            </w:r>
          </w:p>
          <w:p w:rsidR="00000000" w:rsidDel="00000000" w:rsidP="00000000" w:rsidRDefault="00000000" w:rsidRPr="00000000" w14:paraId="0000006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XVI - prorrogar “de ofício” o prazo de vigência do TCC antes do seu término, quando der causa ao atraso na liberação dos recursos, limitada à prorrogação ao exato período do atraso verificado;</w:t>
            </w:r>
          </w:p>
          <w:p w:rsidR="00000000" w:rsidDel="00000000" w:rsidP="00000000" w:rsidRDefault="00000000" w:rsidRPr="00000000" w14:paraId="0000006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XVII - aplicar as penalidades previstas e proceder às ações administrativas necessárias à exigência da restituição dos recursos transferidos;</w:t>
            </w:r>
          </w:p>
          <w:p w:rsidR="00000000" w:rsidDel="00000000" w:rsidP="00000000" w:rsidRDefault="00000000" w:rsidRPr="00000000" w14:paraId="0000006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000000" w:rsidDel="00000000" w:rsidP="00000000" w:rsidRDefault="00000000" w:rsidRPr="00000000" w14:paraId="0000006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XIX - analisar a prestação de contas dos recursos aplicados na consecução do objeto deste TCC, na forma e prazo fixados no Decreto nº 11.453/2023 e no art. 47 da IN MinC nº 08/2016;</w:t>
            </w:r>
          </w:p>
          <w:p w:rsidR="00000000" w:rsidDel="00000000" w:rsidP="00000000" w:rsidRDefault="00000000" w:rsidRPr="00000000" w14:paraId="0000006F">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X</w:t>
            </w:r>
            <w:r w:rsidDel="00000000" w:rsidR="00000000" w:rsidRPr="00000000">
              <w:rPr>
                <w:rFonts w:ascii="Calibri" w:cs="Calibri" w:eastAsia="Calibri" w:hAnsi="Calibri"/>
                <w:sz w:val="24"/>
                <w:szCs w:val="24"/>
                <w:rtl w:val="0"/>
              </w:rPr>
              <w:t xml:space="preserve">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000000" w:rsidDel="00000000" w:rsidP="00000000" w:rsidRDefault="00000000" w:rsidRPr="00000000" w14:paraId="00000070">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sz w:val="24"/>
                <w:szCs w:val="24"/>
                <w:rtl w:val="0"/>
              </w:rPr>
              <w:t xml:space="preserve">XXI - exercer, se conveniente e oportuno, a prerrogativa de assumir ou de transferir a responsabilidade pela execução do objeto, no caso de paralisação ou da ocorrência de fato relevante, de modo a evitar sua descontinuidade.</w:t>
            </w: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71">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4.2.   DA ENTIDADE CULTURAL</w:t>
            </w:r>
          </w:p>
        </w:tc>
      </w:tr>
      <w:tr>
        <w:trPr>
          <w:cantSplit w:val="0"/>
          <w:trHeight w:val="1555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72">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Incumbe à Entidade Cultural observar as obrigações descritas na legislação de regência e, ainda, as seguintes responsabilidades:</w:t>
            </w:r>
          </w:p>
          <w:p w:rsidR="00000000" w:rsidDel="00000000" w:rsidP="00000000" w:rsidRDefault="00000000" w:rsidRPr="00000000" w14:paraId="00000073">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executar o projeto conforme Plano de Trabalho aprovado e produzir provas documentais sobre o andamento da execução do projeto, inclusive das alterações no Plano de Trabalho;</w:t>
            </w:r>
          </w:p>
          <w:p w:rsidR="00000000" w:rsidDel="00000000" w:rsidP="00000000" w:rsidRDefault="00000000" w:rsidRPr="00000000" w14:paraId="00000074">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cumprir com os procedimentos de transparência e publicidade atribuídos à entidade cultural conforme o disposto no Capítulo IV,  Seção III da IN MinC nº 08 de 11 de maio de 2016;</w:t>
            </w:r>
          </w:p>
          <w:p w:rsidR="00000000" w:rsidDel="00000000" w:rsidP="00000000" w:rsidRDefault="00000000" w:rsidRPr="00000000" w14:paraId="00000075">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000000" w:rsidDel="00000000" w:rsidP="00000000" w:rsidRDefault="00000000" w:rsidRPr="00000000" w14:paraId="00000076">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IV - desenvolver uma gestão compartilhada e participativa, por meio de instâncias, fóruns e espaços de diálogos junto aos beneficiários em sua área de abrangência;</w:t>
            </w:r>
          </w:p>
          <w:p w:rsidR="00000000" w:rsidDel="00000000" w:rsidP="00000000" w:rsidRDefault="00000000" w:rsidRPr="00000000" w14:paraId="0000007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 - envidar esforços visando atuar nos processos participativos instituídos pelo Sistema Nacional de Cultura-SNC (especialmente as Conferências de Cultura) e pela PNCV (especialmente as TEIAs) em âmbito local, regional e nacional;</w:t>
            </w:r>
          </w:p>
          <w:p w:rsidR="00000000" w:rsidDel="00000000" w:rsidP="00000000" w:rsidRDefault="00000000" w:rsidRPr="00000000" w14:paraId="00000078">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VI - estimular a participação ativa dos beneficiários da PNCV nos processos participativos instituídos no SNC e na PNCV em âmbito local, regional e nacional;</w:t>
            </w:r>
          </w:p>
          <w:p w:rsidR="00000000" w:rsidDel="00000000" w:rsidP="00000000" w:rsidRDefault="00000000" w:rsidRPr="00000000" w14:paraId="00000079">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VII - contribuir com a organização e funcionamento da Rede Cultura Viva e de suas instâncias, mecanismos e processos de gestão compartilhada, participação e controle social;</w:t>
            </w:r>
          </w:p>
          <w:p w:rsidR="00000000" w:rsidDel="00000000" w:rsidP="00000000" w:rsidRDefault="00000000" w:rsidRPr="00000000" w14:paraId="0000007A">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VIII - manter seus dados cadastrais atualizados no Cadastro Nacional de Pontos e Pontões de Cultura, atendendo à chamada anual de atualização de dados;</w:t>
            </w:r>
          </w:p>
          <w:p w:rsidR="00000000" w:rsidDel="00000000" w:rsidP="00000000" w:rsidRDefault="00000000" w:rsidRPr="00000000" w14:paraId="0000007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000000" w:rsidDel="00000000" w:rsidP="00000000" w:rsidRDefault="00000000" w:rsidRPr="00000000" w14:paraId="0000007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000000" w:rsidDel="00000000" w:rsidP="00000000" w:rsidRDefault="00000000" w:rsidRPr="00000000" w14:paraId="0000007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 - a responsabilidade exclusiva pelo gerenciamento administrativo e financeiro dos recursos recebidos;</w:t>
            </w:r>
          </w:p>
          <w:p w:rsidR="00000000" w:rsidDel="00000000" w:rsidP="00000000" w:rsidRDefault="00000000" w:rsidRPr="00000000" w14:paraId="0000007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000000" w:rsidDel="00000000" w:rsidP="00000000" w:rsidRDefault="00000000" w:rsidRPr="00000000" w14:paraId="0000007F">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XIII - prestar contas dos recursos recebidos, conforme acordado neste Termo e  na forma dos atos normativos que se relacionam com o tema;</w:t>
            </w:r>
          </w:p>
          <w:p w:rsidR="00000000" w:rsidDel="00000000" w:rsidP="00000000" w:rsidRDefault="00000000" w:rsidRPr="00000000" w14:paraId="00000080">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000000" w:rsidDel="00000000" w:rsidP="00000000" w:rsidRDefault="00000000" w:rsidRPr="00000000" w14:paraId="00000081">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000000" w:rsidDel="00000000" w:rsidP="00000000" w:rsidRDefault="00000000" w:rsidRPr="00000000" w14:paraId="00000082">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83">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5. DOS VALORES</w:t>
            </w:r>
          </w:p>
        </w:tc>
      </w:tr>
      <w:tr>
        <w:trPr>
          <w:cantSplit w:val="0"/>
          <w:trHeight w:val="139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4">
            <w:pPr>
              <w:shd w:fill="ffffff" w:val="clear"/>
              <w:spacing w:after="120" w:before="120" w:line="276" w:lineRule="auto"/>
              <w:jc w:val="both"/>
              <w:rPr>
                <w:rFonts w:ascii="Calibri" w:cs="Calibri" w:eastAsia="Calibri" w:hAnsi="Calibri"/>
                <w:color w:val="ff0000"/>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Para execução das atividades previstas no Plano de Trabalho deste TCC, serão disponibilizados pelo Ente Público recursos no valor total de</w:t>
            </w:r>
            <w:r w:rsidDel="00000000" w:rsidR="00000000" w:rsidRPr="00000000">
              <w:rPr>
                <w:rFonts w:ascii="Calibri" w:cs="Calibri" w:eastAsia="Calibri" w:hAnsi="Calibri"/>
                <w:color w:val="ff0000"/>
                <w:sz w:val="24"/>
                <w:szCs w:val="24"/>
                <w:rtl w:val="0"/>
              </w:rPr>
              <w:t xml:space="preserve"> R$ 30.000,00 (trinta mil reais),</w:t>
            </w:r>
            <w:r w:rsidDel="00000000" w:rsidR="00000000" w:rsidRPr="00000000">
              <w:rPr>
                <w:rFonts w:ascii="Calibri" w:cs="Calibri" w:eastAsia="Calibri" w:hAnsi="Calibri"/>
                <w:sz w:val="24"/>
                <w:szCs w:val="24"/>
                <w:rtl w:val="0"/>
              </w:rPr>
              <w:t xml:space="preserve"> em parcela única, de acordo com o Cronograma de Desembolso constante do Plano de Trabalho, correspondente à Nota de Empenho </w:t>
            </w:r>
            <w:r w:rsidDel="00000000" w:rsidR="00000000" w:rsidRPr="00000000">
              <w:rPr>
                <w:rFonts w:ascii="Calibri" w:cs="Calibri" w:eastAsia="Calibri" w:hAnsi="Calibri"/>
                <w:color w:val="ff0000"/>
                <w:sz w:val="24"/>
                <w:szCs w:val="24"/>
                <w:rtl w:val="0"/>
              </w:rPr>
              <w:t xml:space="preserve">XXXX, de XX/XX/2024.</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85">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5.1 Da movimentação dos recursos financeiros</w:t>
            </w:r>
          </w:p>
        </w:tc>
      </w:tr>
      <w:tr>
        <w:trPr>
          <w:cantSplit w:val="0"/>
          <w:trHeight w:val="832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6">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Os recursos referentes ao presente Termo de Compromisso Cultural, a serem desembolsados pelo Ente Público, serão depositados e geridos em conta específica de instituição financeira indicada pela entidade cultural, na </w:t>
            </w:r>
            <w:r w:rsidDel="00000000" w:rsidR="00000000" w:rsidRPr="00000000">
              <w:rPr>
                <w:rFonts w:ascii="Calibri" w:cs="Calibri" w:eastAsia="Calibri" w:hAnsi="Calibri"/>
                <w:color w:val="ff0000"/>
                <w:sz w:val="24"/>
                <w:szCs w:val="24"/>
                <w:rtl w:val="0"/>
              </w:rPr>
              <w:t xml:space="preserve">Agência XXXX – Banco XXXX, na cidade XXXX, UF XX,</w:t>
            </w:r>
            <w:r w:rsidDel="00000000" w:rsidR="00000000" w:rsidRPr="00000000">
              <w:rPr>
                <w:rFonts w:ascii="Calibri" w:cs="Calibri" w:eastAsia="Calibri" w:hAnsi="Calibri"/>
                <w:sz w:val="24"/>
                <w:szCs w:val="24"/>
                <w:rtl w:val="0"/>
              </w:rPr>
              <w:t xml:space="preserve"> em conformidade com os prazos estabelecidos no Cronograma Financeiro constante do Plano de Trabalho.</w:t>
            </w:r>
          </w:p>
          <w:p w:rsidR="00000000" w:rsidDel="00000000" w:rsidP="00000000" w:rsidRDefault="00000000" w:rsidRPr="00000000" w14:paraId="0000008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5.1.1 Os recursos depositados nesta conta bancária específica, enquanto não empregados na sua finalidade, serão obrigatoriamente aplicados:</w:t>
            </w:r>
          </w:p>
          <w:p w:rsidR="00000000" w:rsidDel="00000000" w:rsidP="00000000" w:rsidRDefault="00000000" w:rsidRPr="00000000" w14:paraId="00000088">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em caderneta de poupança, ou</w:t>
            </w:r>
          </w:p>
          <w:p w:rsidR="00000000" w:rsidDel="00000000" w:rsidP="00000000" w:rsidRDefault="00000000" w:rsidRPr="00000000" w14:paraId="00000089">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em fundo de aplicação financeira de curto prazo ou operação de mercado aberto lastreada em título da dívida pública.</w:t>
            </w:r>
          </w:p>
          <w:p w:rsidR="00000000" w:rsidDel="00000000" w:rsidP="00000000" w:rsidRDefault="00000000" w:rsidRPr="00000000" w14:paraId="0000008A">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5.1.2 Os recursos deste Termo de Compromisso Cultural serão utilizados exclusivamente para o pagamento das despesas previstas no objeto do TCC, vedada a sua aplicação em finalidade diversa, ainda que decorrentes de necessidade emergencial do </w:t>
            </w:r>
            <w:r w:rsidDel="00000000" w:rsidR="00000000" w:rsidRPr="00000000">
              <w:rPr>
                <w:rFonts w:ascii="Calibri" w:cs="Calibri" w:eastAsia="Calibri" w:hAnsi="Calibri"/>
                <w:sz w:val="24"/>
                <w:szCs w:val="24"/>
                <w:rtl w:val="0"/>
              </w:rPr>
              <w:t xml:space="preserve">PONTO </w:t>
            </w:r>
            <w:r w:rsidDel="00000000" w:rsidR="00000000" w:rsidRPr="00000000">
              <w:rPr>
                <w:rFonts w:ascii="Calibri" w:cs="Calibri" w:eastAsia="Calibri" w:hAnsi="Calibri"/>
                <w:sz w:val="24"/>
                <w:szCs w:val="24"/>
                <w:rtl w:val="0"/>
              </w:rPr>
              <w:t xml:space="preserve">DE CULTURA.</w:t>
            </w:r>
          </w:p>
          <w:p w:rsidR="00000000" w:rsidDel="00000000" w:rsidP="00000000" w:rsidRDefault="00000000" w:rsidRPr="00000000" w14:paraId="0000008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000000" w:rsidDel="00000000" w:rsidP="00000000" w:rsidRDefault="00000000" w:rsidRPr="00000000" w14:paraId="0000008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5.1.4 O uso de rendimentos para as finalidades descritas no item 5.1.3 poderá ser realizado sem autorização prévia da administração pública, desde que seja descrito no Relatório de Execução do Objeto, com motivação.</w:t>
            </w:r>
          </w:p>
          <w:p w:rsidR="00000000" w:rsidDel="00000000" w:rsidP="00000000" w:rsidRDefault="00000000" w:rsidRPr="00000000" w14:paraId="0000008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5.1.5 O remanejamento de recurso no plano de trabalho poderá ocorrer desde que:</w:t>
            </w:r>
          </w:p>
          <w:p w:rsidR="00000000" w:rsidDel="00000000" w:rsidP="00000000" w:rsidRDefault="00000000" w:rsidRPr="00000000" w14:paraId="0000008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seja realizado durante a vigência do TCC;</w:t>
            </w:r>
          </w:p>
          <w:p w:rsidR="00000000" w:rsidDel="00000000" w:rsidP="00000000" w:rsidRDefault="00000000" w:rsidRPr="00000000" w14:paraId="0000008F">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tenha como finalidade o cumprimento do objeto pactuado;</w:t>
            </w:r>
          </w:p>
          <w:p w:rsidR="00000000" w:rsidDel="00000000" w:rsidP="00000000" w:rsidRDefault="00000000" w:rsidRPr="00000000" w14:paraId="00000090">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não altere o valor global do orçamento aprovado no TCC.</w:t>
            </w:r>
          </w:p>
          <w:p w:rsidR="00000000" w:rsidDel="00000000" w:rsidP="00000000" w:rsidRDefault="00000000" w:rsidRPr="00000000" w14:paraId="00000091">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000000" w:rsidDel="00000000" w:rsidP="00000000" w:rsidRDefault="00000000" w:rsidRPr="00000000" w14:paraId="00000092">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93">
      <w:pPr>
        <w:shd w:fill="ffffff" w:val="clear"/>
        <w:spacing w:after="240" w:before="240" w:lineRule="auto"/>
        <w:jc w:val="center"/>
        <w:rPr>
          <w:rFonts w:ascii="Calibri" w:cs="Calibri" w:eastAsia="Calibri" w:hAnsi="Calibri"/>
          <w:b w:val="1"/>
          <w:sz w:val="24"/>
          <w:szCs w:val="24"/>
          <w:u w:val="single"/>
        </w:rPr>
      </w:pPr>
      <w:bookmarkStart w:colFirst="0" w:colLast="0" w:name="_heading=h.qij3xp10dvgu" w:id="8"/>
      <w:bookmarkEnd w:id="8"/>
      <w:r w:rsidDel="00000000" w:rsidR="00000000" w:rsidRPr="00000000">
        <w:rPr>
          <w:rtl w:val="0"/>
        </w:rPr>
      </w:r>
    </w:p>
    <w:p w:rsidR="00000000" w:rsidDel="00000000" w:rsidP="00000000" w:rsidRDefault="00000000" w:rsidRPr="00000000" w14:paraId="00000094">
      <w:pPr>
        <w:shd w:fill="ffffff" w:val="clear"/>
        <w:spacing w:after="240" w:before="240" w:lineRule="auto"/>
        <w:jc w:val="center"/>
        <w:rPr>
          <w:rFonts w:ascii="Calibri" w:cs="Calibri" w:eastAsia="Calibri" w:hAnsi="Calibri"/>
          <w:b w:val="1"/>
          <w:sz w:val="24"/>
          <w:szCs w:val="24"/>
          <w:u w:val="single"/>
        </w:rPr>
      </w:pPr>
      <w:bookmarkStart w:colFirst="0" w:colLast="0" w:name="_heading=h.bt777dgep5vi" w:id="9"/>
      <w:bookmarkEnd w:id="9"/>
      <w:r w:rsidDel="00000000" w:rsidR="00000000" w:rsidRPr="00000000">
        <w:rPr>
          <w:rtl w:val="0"/>
        </w:rPr>
      </w:r>
    </w:p>
    <w:p w:rsidR="00000000" w:rsidDel="00000000" w:rsidP="00000000" w:rsidRDefault="00000000" w:rsidRPr="00000000" w14:paraId="00000095">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96">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6. DO ACOMPANHAMENTO E AVALIAÇÃO</w:t>
            </w:r>
          </w:p>
        </w:tc>
      </w:tr>
      <w:tr>
        <w:trPr>
          <w:cantSplit w:val="0"/>
          <w:trHeight w:val="595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9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6.1. O </w:t>
            </w:r>
            <w:r w:rsidDel="00000000" w:rsidR="00000000" w:rsidRPr="00000000">
              <w:rPr>
                <w:rFonts w:ascii="Calibri" w:cs="Calibri" w:eastAsia="Calibri" w:hAnsi="Calibri"/>
                <w:color w:val="ff0000"/>
                <w:sz w:val="24"/>
                <w:szCs w:val="24"/>
                <w:rtl w:val="0"/>
              </w:rPr>
              <w:t xml:space="preserve">[NOME DO ENTE PÚBLICO]</w:t>
            </w:r>
            <w:r w:rsidDel="00000000" w:rsidR="00000000" w:rsidRPr="00000000">
              <w:rPr>
                <w:rFonts w:ascii="Calibri" w:cs="Calibri" w:eastAsia="Calibri" w:hAnsi="Calibri"/>
                <w:sz w:val="24"/>
                <w:szCs w:val="24"/>
                <w:rtl w:val="0"/>
              </w:rPr>
              <w:t xml:space="preserve"> realizará o acompanhamento e a avaliação da execução</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deste TCC, periodicamente, durante a vigência da parceria, com vistas a promover o levantamento de dados para subsidiar a avaliação da prestação de contas podendo, para tanto:</w:t>
            </w:r>
          </w:p>
          <w:p w:rsidR="00000000" w:rsidDel="00000000" w:rsidP="00000000" w:rsidRDefault="00000000" w:rsidRPr="00000000" w14:paraId="00000098">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exigir informações técnicas (incluindo relatório fotográfico), prestações de contas parciais e/ou final a qualquer momento;</w:t>
            </w:r>
          </w:p>
          <w:p w:rsidR="00000000" w:rsidDel="00000000" w:rsidP="00000000" w:rsidRDefault="00000000" w:rsidRPr="00000000" w14:paraId="00000099">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exigir o registro, nos sistemas institucionais indicados pelo Ministério da Cultura, das atividades provenientes da execução do TCC;</w:t>
            </w:r>
          </w:p>
          <w:p w:rsidR="00000000" w:rsidDel="00000000" w:rsidP="00000000" w:rsidRDefault="00000000" w:rsidRPr="00000000" w14:paraId="0000009A">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usar os diversos canais eletrônicos de comunicação e divulgação absorvendo informações sobre a execução do TCC e adotando providências necessárias, quando for o caso;</w:t>
            </w:r>
          </w:p>
          <w:p w:rsidR="00000000" w:rsidDel="00000000" w:rsidP="00000000" w:rsidRDefault="00000000" w:rsidRPr="00000000" w14:paraId="0000009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IV - fazer vistoria in loco (vistoria no local);</w:t>
            </w:r>
          </w:p>
          <w:p w:rsidR="00000000" w:rsidDel="00000000" w:rsidP="00000000" w:rsidRDefault="00000000" w:rsidRPr="00000000" w14:paraId="0000009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V - utilizar apoio técnico de terceiros, delegar competência ou firmar parcerias com órgãos ou entidades.</w:t>
            </w:r>
          </w:p>
          <w:p w:rsidR="00000000" w:rsidDel="00000000" w:rsidP="00000000" w:rsidRDefault="00000000" w:rsidRPr="00000000" w14:paraId="0000009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6.2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INSTITUTO MUNICIPAL DE CULTURA DE PETRÓPOLIS </w:t>
            </w:r>
            <w:r w:rsidDel="00000000" w:rsidR="00000000" w:rsidRPr="00000000">
              <w:rPr>
                <w:rFonts w:ascii="Calibri" w:cs="Calibri" w:eastAsia="Calibri" w:hAnsi="Calibri"/>
                <w:sz w:val="24"/>
                <w:szCs w:val="24"/>
                <w:rtl w:val="0"/>
              </w:rPr>
              <w:t xml:space="preserve">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000000" w:rsidDel="00000000" w:rsidP="00000000" w:rsidRDefault="00000000" w:rsidRPr="00000000" w14:paraId="0000009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6.3 Os TCCs estarão também sujeitos aos mecanismos de controle social previstos na legislação e ao acompanhamento por comissões e conselhos de políticas públicas da área cultural.</w:t>
            </w:r>
          </w:p>
        </w:tc>
      </w:tr>
    </w:tbl>
    <w:p w:rsidR="00000000" w:rsidDel="00000000" w:rsidP="00000000" w:rsidRDefault="00000000" w:rsidRPr="00000000" w14:paraId="0000009F">
      <w:pPr>
        <w:shd w:fill="ffffff" w:val="clear"/>
        <w:spacing w:after="240" w:before="240" w:lineRule="auto"/>
        <w:jc w:val="center"/>
        <w:rPr>
          <w:rFonts w:ascii="Calibri" w:cs="Calibri" w:eastAsia="Calibri" w:hAnsi="Calibri"/>
          <w:b w:val="1"/>
          <w:sz w:val="24"/>
          <w:szCs w:val="24"/>
          <w:u w:val="single"/>
        </w:rPr>
      </w:pPr>
      <w:bookmarkStart w:colFirst="0" w:colLast="0" w:name="_heading=h.hhdpz249ilvf" w:id="10"/>
      <w:bookmarkEnd w:id="10"/>
      <w:r w:rsidDel="00000000" w:rsidR="00000000" w:rsidRPr="00000000">
        <w:rPr>
          <w:rtl w:val="0"/>
        </w:rPr>
      </w:r>
    </w:p>
    <w:p w:rsidR="00000000" w:rsidDel="00000000" w:rsidP="00000000" w:rsidRDefault="00000000" w:rsidRPr="00000000" w14:paraId="000000A0">
      <w:pPr>
        <w:shd w:fill="ffffff" w:val="clear"/>
        <w:spacing w:after="240" w:before="240" w:lineRule="auto"/>
        <w:jc w:val="center"/>
        <w:rPr>
          <w:rFonts w:ascii="Calibri" w:cs="Calibri" w:eastAsia="Calibri" w:hAnsi="Calibri"/>
          <w:b w:val="1"/>
          <w:sz w:val="24"/>
          <w:szCs w:val="24"/>
          <w:u w:val="single"/>
        </w:rPr>
      </w:pPr>
      <w:bookmarkStart w:colFirst="0" w:colLast="0" w:name="_heading=h.dix9okrq9kkg" w:id="11"/>
      <w:bookmarkEnd w:id="11"/>
      <w:r w:rsidDel="00000000" w:rsidR="00000000" w:rsidRPr="00000000">
        <w:rPr>
          <w:rtl w:val="0"/>
        </w:rPr>
      </w:r>
    </w:p>
    <w:p w:rsidR="00000000" w:rsidDel="00000000" w:rsidP="00000000" w:rsidRDefault="00000000" w:rsidRPr="00000000" w14:paraId="000000A1">
      <w:pPr>
        <w:shd w:fill="ffffff" w:val="clear"/>
        <w:spacing w:after="240" w:before="240" w:lineRule="auto"/>
        <w:jc w:val="center"/>
        <w:rPr>
          <w:rFonts w:ascii="Calibri" w:cs="Calibri" w:eastAsia="Calibri" w:hAnsi="Calibri"/>
          <w:b w:val="1"/>
          <w:sz w:val="24"/>
          <w:szCs w:val="24"/>
          <w:u w:val="single"/>
        </w:rPr>
      </w:pPr>
      <w:bookmarkStart w:colFirst="0" w:colLast="0" w:name="_heading=h.86ixyrk5xpc" w:id="12"/>
      <w:bookmarkEnd w:id="12"/>
      <w:r w:rsidDel="00000000" w:rsidR="00000000" w:rsidRPr="00000000">
        <w:rPr>
          <w:rtl w:val="0"/>
        </w:rPr>
      </w:r>
    </w:p>
    <w:p w:rsidR="00000000" w:rsidDel="00000000" w:rsidP="00000000" w:rsidRDefault="00000000" w:rsidRPr="00000000" w14:paraId="000000A2">
      <w:pPr>
        <w:shd w:fill="ffffff" w:val="clear"/>
        <w:spacing w:after="240" w:before="240" w:lineRule="auto"/>
        <w:jc w:val="center"/>
        <w:rPr>
          <w:rFonts w:ascii="Calibri" w:cs="Calibri" w:eastAsia="Calibri" w:hAnsi="Calibri"/>
          <w:b w:val="1"/>
          <w:sz w:val="24"/>
          <w:szCs w:val="24"/>
          <w:u w:val="single"/>
        </w:rPr>
      </w:pPr>
      <w:bookmarkStart w:colFirst="0" w:colLast="0" w:name="_heading=h.22os9kilbkbi" w:id="13"/>
      <w:bookmarkEnd w:id="13"/>
      <w:r w:rsidDel="00000000" w:rsidR="00000000" w:rsidRPr="00000000">
        <w:rPr>
          <w:rtl w:val="0"/>
        </w:rPr>
      </w:r>
    </w:p>
    <w:p w:rsidR="00000000" w:rsidDel="00000000" w:rsidP="00000000" w:rsidRDefault="00000000" w:rsidRPr="00000000" w14:paraId="000000A3">
      <w:pPr>
        <w:shd w:fill="ffffff" w:val="clear"/>
        <w:spacing w:after="240" w:before="240" w:lineRule="auto"/>
        <w:jc w:val="center"/>
        <w:rPr>
          <w:rFonts w:ascii="Calibri" w:cs="Calibri" w:eastAsia="Calibri" w:hAnsi="Calibri"/>
          <w:b w:val="1"/>
          <w:sz w:val="24"/>
          <w:szCs w:val="24"/>
          <w:u w:val="single"/>
        </w:rPr>
      </w:pPr>
      <w:bookmarkStart w:colFirst="0" w:colLast="0" w:name="_heading=h.mrv14qgufzxx" w:id="14"/>
      <w:bookmarkEnd w:id="14"/>
      <w:r w:rsidDel="00000000" w:rsidR="00000000" w:rsidRPr="00000000">
        <w:rPr>
          <w:rtl w:val="0"/>
        </w:rPr>
      </w:r>
    </w:p>
    <w:p w:rsidR="00000000" w:rsidDel="00000000" w:rsidP="00000000" w:rsidRDefault="00000000" w:rsidRPr="00000000" w14:paraId="000000A4">
      <w:pPr>
        <w:shd w:fill="ffffff" w:val="clear"/>
        <w:spacing w:after="240" w:before="240" w:lineRule="auto"/>
        <w:jc w:val="center"/>
        <w:rPr>
          <w:rFonts w:ascii="Calibri" w:cs="Calibri" w:eastAsia="Calibri" w:hAnsi="Calibri"/>
          <w:b w:val="1"/>
          <w:sz w:val="24"/>
          <w:szCs w:val="24"/>
          <w:u w:val="single"/>
        </w:rPr>
      </w:pPr>
      <w:bookmarkStart w:colFirst="0" w:colLast="0" w:name="_heading=h.v75pi8622tzo" w:id="15"/>
      <w:bookmarkEnd w:id="15"/>
      <w:r w:rsidDel="00000000" w:rsidR="00000000" w:rsidRPr="00000000">
        <w:rPr>
          <w:rtl w:val="0"/>
        </w:rPr>
      </w:r>
    </w:p>
    <w:p w:rsidR="00000000" w:rsidDel="00000000" w:rsidP="00000000" w:rsidRDefault="00000000" w:rsidRPr="00000000" w14:paraId="000000A5">
      <w:pPr>
        <w:shd w:fill="ffffff" w:val="clear"/>
        <w:spacing w:after="240" w:before="240" w:lineRule="auto"/>
        <w:jc w:val="center"/>
        <w:rPr>
          <w:rFonts w:ascii="Calibri" w:cs="Calibri" w:eastAsia="Calibri" w:hAnsi="Calibri"/>
          <w:b w:val="1"/>
          <w:sz w:val="24"/>
          <w:szCs w:val="24"/>
          <w:u w:val="single"/>
        </w:rPr>
      </w:pPr>
      <w:bookmarkStart w:colFirst="0" w:colLast="0" w:name="_heading=h.laamvmwwgh55" w:id="16"/>
      <w:bookmarkEnd w:id="16"/>
      <w:r w:rsidDel="00000000" w:rsidR="00000000" w:rsidRPr="00000000">
        <w:rPr>
          <w:rtl w:val="0"/>
        </w:rPr>
      </w:r>
    </w:p>
    <w:p w:rsidR="00000000" w:rsidDel="00000000" w:rsidP="00000000" w:rsidRDefault="00000000" w:rsidRPr="00000000" w14:paraId="000000A6">
      <w:pPr>
        <w:shd w:fill="ffffff" w:val="clear"/>
        <w:spacing w:after="240" w:before="240" w:lineRule="auto"/>
        <w:jc w:val="left"/>
        <w:rPr>
          <w:rFonts w:ascii="Calibri" w:cs="Calibri" w:eastAsia="Calibri" w:hAnsi="Calibri"/>
          <w:b w:val="1"/>
          <w:sz w:val="10"/>
          <w:szCs w:val="10"/>
          <w:u w:val="single"/>
        </w:rPr>
      </w:pPr>
      <w:bookmarkStart w:colFirst="0" w:colLast="0" w:name="_heading=h.j6h0tzkdhvtz" w:id="17"/>
      <w:bookmarkEnd w:id="17"/>
      <w:r w:rsidDel="00000000" w:rsidR="00000000" w:rsidRPr="00000000">
        <w:rPr>
          <w:rtl w:val="0"/>
        </w:rPr>
      </w:r>
    </w:p>
    <w:p w:rsidR="00000000" w:rsidDel="00000000" w:rsidP="00000000" w:rsidRDefault="00000000" w:rsidRPr="00000000" w14:paraId="000000A7">
      <w:pPr>
        <w:shd w:fill="ffffff" w:val="clear"/>
        <w:spacing w:after="240" w:before="240" w:lineRule="auto"/>
        <w:jc w:val="left"/>
        <w:rPr>
          <w:rFonts w:ascii="Calibri" w:cs="Calibri" w:eastAsia="Calibri" w:hAnsi="Calibri"/>
          <w:b w:val="1"/>
          <w:sz w:val="6"/>
          <w:szCs w:val="6"/>
          <w:u w:val="single"/>
        </w:rPr>
      </w:pPr>
      <w:bookmarkStart w:colFirst="0" w:colLast="0" w:name="_heading=h.37wkuqiv3plx" w:id="18"/>
      <w:bookmarkEnd w:id="18"/>
      <w:r w:rsidDel="00000000" w:rsidR="00000000" w:rsidRPr="00000000">
        <w:rPr>
          <w:rtl w:val="0"/>
        </w:rPr>
      </w:r>
    </w:p>
    <w:p w:rsidR="00000000" w:rsidDel="00000000" w:rsidP="00000000" w:rsidRDefault="00000000" w:rsidRPr="00000000" w14:paraId="000000A8">
      <w:pPr>
        <w:shd w:fill="ffffff" w:val="clear"/>
        <w:spacing w:after="240" w:before="240" w:lineRule="auto"/>
        <w:jc w:val="left"/>
        <w:rPr>
          <w:rFonts w:ascii="Calibri" w:cs="Calibri" w:eastAsia="Calibri" w:hAnsi="Calibri"/>
          <w:b w:val="1"/>
          <w:sz w:val="6"/>
          <w:szCs w:val="6"/>
          <w:u w:val="single"/>
        </w:rPr>
      </w:pPr>
      <w:bookmarkStart w:colFirst="0" w:colLast="0" w:name="_heading=h.jy6fxglxkk9" w:id="6"/>
      <w:bookmarkEnd w:id="6"/>
      <w:r w:rsidDel="00000000" w:rsidR="00000000" w:rsidRPr="00000000">
        <w:rPr>
          <w:rtl w:val="0"/>
        </w:rPr>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A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7. DA PRESTAÇÃO DE CONTAS</w:t>
            </w:r>
          </w:p>
        </w:tc>
      </w:tr>
      <w:tr>
        <w:trPr>
          <w:cantSplit w:val="0"/>
          <w:trHeight w:val="898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AA">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7.1 A prestação de contas será apresentada por meio do Relatório de Execução do Objeto,, no prazo de noventa dias após o fim da vigência do TCC, contendo:</w:t>
            </w:r>
          </w:p>
          <w:p w:rsidR="00000000" w:rsidDel="00000000" w:rsidP="00000000" w:rsidRDefault="00000000" w:rsidRPr="00000000" w14:paraId="000000A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000000" w:rsidDel="00000000" w:rsidP="00000000" w:rsidRDefault="00000000" w:rsidRPr="00000000" w14:paraId="000000A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000000" w:rsidDel="00000000" w:rsidP="00000000" w:rsidRDefault="00000000" w:rsidRPr="00000000" w14:paraId="000000A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material que comprove a execução de cada item de despesa e a consecução de cada uma das metas (fotos, listas de presença, vídeos, entre outros) descrito no Plano de Trabalho.</w:t>
            </w:r>
          </w:p>
          <w:p w:rsidR="00000000" w:rsidDel="00000000" w:rsidP="00000000" w:rsidRDefault="00000000" w:rsidRPr="00000000" w14:paraId="000000A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7.2 Os documentos originais de comprovação do cumprimento do objeto deverão ser guardados pelo PONTO DE CULTURA pelo prazo de cinco anos após a entrega da prestação de contas.</w:t>
            </w:r>
          </w:p>
          <w:p w:rsidR="00000000" w:rsidDel="00000000" w:rsidP="00000000" w:rsidRDefault="00000000" w:rsidRPr="00000000" w14:paraId="000000AF">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7.3 O prazo de apresentação do Relatório de Execução do Objeto poderá ser prorrogado por até trinta dias, mediante solicitação fundamentada do PONTO DE CULTURA.</w:t>
            </w:r>
          </w:p>
          <w:p w:rsidR="00000000" w:rsidDel="00000000" w:rsidP="00000000" w:rsidRDefault="00000000" w:rsidRPr="00000000" w14:paraId="000000B0">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7.4 Caso o Ente Público verifique que houve inadequação na execução do objeto, o PONTO DE CULTURA será notificado para apresentar Relatório de Execução Financeiro, no prazo de trinta dias, contendo:</w:t>
            </w:r>
          </w:p>
          <w:p w:rsidR="00000000" w:rsidDel="00000000" w:rsidP="00000000" w:rsidRDefault="00000000" w:rsidRPr="00000000" w14:paraId="000000B1">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relação de pagamentos, com indicação dos beneficiários desses pagamentos e identificação do item de despesa e meta relacionados a cada pagamento;</w:t>
            </w:r>
          </w:p>
          <w:p w:rsidR="00000000" w:rsidDel="00000000" w:rsidP="00000000" w:rsidRDefault="00000000" w:rsidRPr="00000000" w14:paraId="000000B2">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extrato bancário da conta do TCC, incluindo toda a movimentação desde a abertura até a última movimentação, e conciliação bancária; e</w:t>
            </w:r>
          </w:p>
          <w:p w:rsidR="00000000" w:rsidDel="00000000" w:rsidP="00000000" w:rsidRDefault="00000000" w:rsidRPr="00000000" w14:paraId="000000B3">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comprovante de recolhimento do saldo remanescente de recursos, quando houver.</w:t>
            </w:r>
          </w:p>
          <w:p w:rsidR="00000000" w:rsidDel="00000000" w:rsidP="00000000" w:rsidRDefault="00000000" w:rsidRPr="00000000" w14:paraId="000000B4">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7.5 O Ente Público considerará que houve inadequação na execução do objeto quando configurada uma das seguintes hipóteses:</w:t>
            </w:r>
          </w:p>
          <w:p w:rsidR="00000000" w:rsidDel="00000000" w:rsidP="00000000" w:rsidRDefault="00000000" w:rsidRPr="00000000" w14:paraId="000000B5">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quando for identificado o descumprimento injustificado do alcance das metas; ou</w:t>
            </w:r>
          </w:p>
          <w:p w:rsidR="00000000" w:rsidDel="00000000" w:rsidP="00000000" w:rsidRDefault="00000000" w:rsidRPr="00000000" w14:paraId="000000B6">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quando for aceita denúncia de irregularidade, mediante juízo de admissibilidade realizado pelo Ente Público.</w:t>
            </w:r>
          </w:p>
        </w:tc>
      </w:tr>
    </w:tbl>
    <w:p w:rsidR="00000000" w:rsidDel="00000000" w:rsidP="00000000" w:rsidRDefault="00000000" w:rsidRPr="00000000" w14:paraId="000000B7">
      <w:pPr>
        <w:shd w:fill="ffffff" w:val="clear"/>
        <w:spacing w:after="240" w:before="240" w:lineRule="auto"/>
        <w:jc w:val="left"/>
        <w:rPr>
          <w:rFonts w:ascii="Calibri" w:cs="Calibri" w:eastAsia="Calibri" w:hAnsi="Calibri"/>
          <w:b w:val="1"/>
          <w:sz w:val="10"/>
          <w:szCs w:val="10"/>
          <w:u w:val="single"/>
        </w:rPr>
      </w:pPr>
      <w:bookmarkStart w:colFirst="0" w:colLast="0" w:name="_heading=h.vp980byp2dwq" w:id="19"/>
      <w:bookmarkEnd w:id="19"/>
      <w:r w:rsidDel="00000000" w:rsidR="00000000" w:rsidRPr="00000000">
        <w:rPr>
          <w:rtl w:val="0"/>
        </w:rPr>
      </w:r>
    </w:p>
    <w:p w:rsidR="00000000" w:rsidDel="00000000" w:rsidP="00000000" w:rsidRDefault="00000000" w:rsidRPr="00000000" w14:paraId="000000B8">
      <w:pPr>
        <w:shd w:fill="ffffff" w:val="clear"/>
        <w:spacing w:after="240" w:before="240" w:lineRule="auto"/>
        <w:jc w:val="left"/>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B9">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8. DOS BENS REMANESCENTES</w:t>
            </w:r>
          </w:p>
        </w:tc>
      </w:tr>
      <w:tr>
        <w:trPr>
          <w:cantSplit w:val="0"/>
          <w:trHeight w:val="889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BA">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000000" w:rsidDel="00000000" w:rsidP="00000000" w:rsidRDefault="00000000" w:rsidRPr="00000000" w14:paraId="000000B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8.2 Quando da extinção da parceria, os bens remanescentes permanecerão na propriedade da Entidade Cultural, na medida em que os bens sejam úteis à continuidade da execução de ações de interesse social pela organização.</w:t>
            </w:r>
          </w:p>
          <w:p w:rsidR="00000000" w:rsidDel="00000000" w:rsidP="00000000" w:rsidRDefault="00000000" w:rsidRPr="00000000" w14:paraId="000000B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8.3 Caso a prestação de contas final seja rejeitada, a titularidade dos bens remanescentes permanecerá com a Entidade Cultural, observados os seguintes procedimentos:</w:t>
            </w:r>
          </w:p>
          <w:p w:rsidR="00000000" w:rsidDel="00000000" w:rsidP="00000000" w:rsidRDefault="00000000" w:rsidRPr="00000000" w14:paraId="000000B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não será exigido ressarcimento do valor relativo ao bem adquirido quando a motivação da rejeição não estiver relacionada ao seu uso ou aquisição; ou</w:t>
            </w:r>
          </w:p>
          <w:p w:rsidR="00000000" w:rsidDel="00000000" w:rsidP="00000000" w:rsidRDefault="00000000" w:rsidRPr="00000000" w14:paraId="000000B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o valor pelo qual o bem remanescente foi adquirido deverá ser computado no cálculo do dano ao erário a ser ressarcido, quando a motivação da rejeição estiver relacionada ao seu uso ou aquisição.</w:t>
            </w:r>
          </w:p>
          <w:p w:rsidR="00000000" w:rsidDel="00000000" w:rsidP="00000000" w:rsidRDefault="00000000" w:rsidRPr="00000000" w14:paraId="000000BF">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8.4 Na hipótese de dissolução da Entidade Cultural durante a vigência do TCC, o valor pelo qual os bens remanescentes foram adquiridos deverá ser computado no cálculo do valor a ser ressarcido.</w:t>
            </w:r>
          </w:p>
          <w:p w:rsidR="00000000" w:rsidDel="00000000" w:rsidP="00000000" w:rsidRDefault="00000000" w:rsidRPr="00000000" w14:paraId="000000C0">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8.5 A Entidade Cultural poderá realizar doação dos bens remanescentes a terceiros, inclusive beneficiários da política pública objeto da parceria, desde que demonstrada sua utilidade para realização ou continuidade de ações de interesse social.</w:t>
            </w:r>
          </w:p>
          <w:p w:rsidR="00000000" w:rsidDel="00000000" w:rsidP="00000000" w:rsidRDefault="00000000" w:rsidRPr="00000000" w14:paraId="000000C1">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000000" w:rsidDel="00000000" w:rsidP="00000000" w:rsidRDefault="00000000" w:rsidRPr="00000000" w14:paraId="000000C2">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8.7 A destinação dos bens remanescentes poderá ser alterada por meio da celebração de Termo Aditivo ao TCC, após solicitação fundamentada de uma das partes.</w:t>
            </w:r>
          </w:p>
          <w:p w:rsidR="00000000" w:rsidDel="00000000" w:rsidP="00000000" w:rsidRDefault="00000000" w:rsidRPr="00000000" w14:paraId="000000C3">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000000" w:rsidDel="00000000" w:rsidP="00000000" w:rsidRDefault="00000000" w:rsidRPr="00000000" w14:paraId="000000C4">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C5">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9. DA PROPRIEDADE INTELECTUAL</w:t>
            </w:r>
          </w:p>
        </w:tc>
      </w:tr>
      <w:tr>
        <w:trPr>
          <w:cantSplit w:val="0"/>
          <w:trHeight w:val="904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C6">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000000" w:rsidDel="00000000" w:rsidP="00000000" w:rsidRDefault="00000000" w:rsidRPr="00000000" w14:paraId="000000C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000000" w:rsidDel="00000000" w:rsidP="00000000" w:rsidRDefault="00000000" w:rsidRPr="00000000" w14:paraId="000000C8">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9.2.1 - Quanto aos direitos de que trata a Lei Nacional nº 9.279/1996, pelo uso de produto objeto de patente, processo ou produto obtido diretamente por processo patenteado, desenho industrial, indicação geográfica e marcas;</w:t>
            </w:r>
          </w:p>
          <w:p w:rsidR="00000000" w:rsidDel="00000000" w:rsidP="00000000" w:rsidRDefault="00000000" w:rsidRPr="00000000" w14:paraId="000000C9">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9.2.2 - Quanto aos direitos de que trata a Lei Nacional nº 9.610/1998, pelas seguintes modalidades:</w:t>
            </w:r>
          </w:p>
          <w:p w:rsidR="00000000" w:rsidDel="00000000" w:rsidP="00000000" w:rsidRDefault="00000000" w:rsidRPr="00000000" w14:paraId="000000CA">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 - a reprodução parcial ou integral, para fins de divulgação;</w:t>
            </w:r>
          </w:p>
          <w:p w:rsidR="00000000" w:rsidDel="00000000" w:rsidP="00000000" w:rsidRDefault="00000000" w:rsidRPr="00000000" w14:paraId="000000CB">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 - a tradução para qualquer idioma;</w:t>
            </w:r>
          </w:p>
          <w:p w:rsidR="00000000" w:rsidDel="00000000" w:rsidP="00000000" w:rsidRDefault="00000000" w:rsidRPr="00000000" w14:paraId="000000C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III - a inclusão em fonograma ou produção audiovisual;</w:t>
            </w:r>
          </w:p>
          <w:p w:rsidR="00000000" w:rsidDel="00000000" w:rsidP="00000000" w:rsidRDefault="00000000" w:rsidRPr="00000000" w14:paraId="000000CD">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IV - a inclusão em base de dados, o armazenamento em computador, a microfilmagem e as demais formas de arquivamento do gênero.</w:t>
            </w:r>
          </w:p>
          <w:p w:rsidR="00000000" w:rsidDel="00000000" w:rsidP="00000000" w:rsidRDefault="00000000" w:rsidRPr="00000000" w14:paraId="000000CE">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rsidR="00000000" w:rsidDel="00000000" w:rsidP="00000000" w:rsidRDefault="00000000" w:rsidRPr="00000000" w14:paraId="000000CF">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D0">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10. DO PRAZO DE VIGÊNCIA</w:t>
            </w:r>
          </w:p>
        </w:tc>
      </w:tr>
      <w:tr>
        <w:trPr>
          <w:cantSplit w:val="0"/>
          <w:trHeight w:val="265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1">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10.1 O prazo de vigência deste TCC </w:t>
            </w:r>
            <w:r w:rsidDel="00000000" w:rsidR="00000000" w:rsidRPr="00000000">
              <w:rPr>
                <w:rFonts w:ascii="Calibri" w:cs="Calibri" w:eastAsia="Calibri" w:hAnsi="Calibri"/>
                <w:color w:val="ff0000"/>
                <w:sz w:val="24"/>
                <w:szCs w:val="24"/>
                <w:rtl w:val="0"/>
              </w:rPr>
              <w:t xml:space="preserve">será de 12 (doze) meses</w:t>
            </w:r>
            <w:r w:rsidDel="00000000" w:rsidR="00000000" w:rsidRPr="00000000">
              <w:rPr>
                <w:rFonts w:ascii="Calibri" w:cs="Calibri" w:eastAsia="Calibri" w:hAnsi="Calibri"/>
                <w:sz w:val="24"/>
                <w:szCs w:val="24"/>
                <w:rtl w:val="0"/>
              </w:rPr>
              <w:t xml:space="preserve">, contados a partir da data de sua assinatura, podendo ser prorrogado </w:t>
            </w:r>
            <w:r w:rsidDel="00000000" w:rsidR="00000000" w:rsidRPr="00000000">
              <w:rPr>
                <w:rFonts w:ascii="Calibri" w:cs="Calibri" w:eastAsia="Calibri" w:hAnsi="Calibri"/>
                <w:color w:val="ff0000"/>
                <w:sz w:val="24"/>
                <w:szCs w:val="24"/>
                <w:rtl w:val="0"/>
              </w:rPr>
              <w:t xml:space="preserve">pelo dobro do tempo pactuado</w:t>
            </w:r>
            <w:r w:rsidDel="00000000" w:rsidR="00000000" w:rsidRPr="00000000">
              <w:rPr>
                <w:rFonts w:ascii="Calibri" w:cs="Calibri" w:eastAsia="Calibri" w:hAnsi="Calibri"/>
                <w:sz w:val="24"/>
                <w:szCs w:val="24"/>
                <w:rtl w:val="0"/>
              </w:rPr>
              <w:t xml:space="preserve">, mediante acordo entre as partes, excetuadas as prorrogações de ofício por atraso na liberação dos recursos.</w:t>
            </w:r>
          </w:p>
          <w:p w:rsidR="00000000" w:rsidDel="00000000" w:rsidP="00000000" w:rsidRDefault="00000000" w:rsidRPr="00000000" w14:paraId="000000D2">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10.2 A vigência do TCC poderá ser alterada mediante solicitação da entidade cultural, a ser apresentada à administração pública em, no mínimo, trinta dias antes do término de sua vigência.</w:t>
            </w:r>
          </w:p>
          <w:p w:rsidR="00000000" w:rsidDel="00000000" w:rsidP="00000000" w:rsidRDefault="00000000" w:rsidRPr="00000000" w14:paraId="000000D3">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10.3 A prorrogação de ofício da vigência do instrumento deve ser feita pela administração pública, antes do seu término, quando ela der causa a atraso na liberação dos recursos, limitada ao exato período do atraso verificado.</w:t>
            </w:r>
          </w:p>
        </w:tc>
      </w:tr>
    </w:tbl>
    <w:p w:rsidR="00000000" w:rsidDel="00000000" w:rsidP="00000000" w:rsidRDefault="00000000" w:rsidRPr="00000000" w14:paraId="000000D4">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D5">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11. DA RESCISÃO</w:t>
            </w:r>
          </w:p>
        </w:tc>
      </w:tr>
      <w:tr>
        <w:trPr>
          <w:cantSplit w:val="0"/>
          <w:trHeight w:val="412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6">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000000" w:rsidDel="00000000" w:rsidP="00000000" w:rsidRDefault="00000000" w:rsidRPr="00000000" w14:paraId="000000D7">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11.2 O Ente Público deverá rescindir este TCC caso seja cancelada a certificação simplificada do Pontão ou Pontão de Cultura, respeitados os atos jurídicos perfeitos, na forma do art. 11 da Instrução Normativa/MinC nº 8/2016.</w:t>
            </w:r>
          </w:p>
          <w:p w:rsidR="00000000" w:rsidDel="00000000" w:rsidP="00000000" w:rsidRDefault="00000000" w:rsidRPr="00000000" w14:paraId="000000D8">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000000" w:rsidDel="00000000" w:rsidP="00000000" w:rsidRDefault="00000000" w:rsidRPr="00000000" w14:paraId="000000D9">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11.4 Havendo rescisão, a entidade cultural fica obrigada a prestar contas de tudo que fora executado até a data da rescisão, observado o prazo e regras da Seção 7.</w:t>
            </w:r>
          </w:p>
        </w:tc>
      </w:tr>
    </w:tbl>
    <w:p w:rsidR="00000000" w:rsidDel="00000000" w:rsidP="00000000" w:rsidRDefault="00000000" w:rsidRPr="00000000" w14:paraId="000000DA">
      <w:pPr>
        <w:shd w:fill="ffffff" w:val="clear"/>
        <w:spacing w:after="240" w:before="240" w:lineRule="auto"/>
        <w:jc w:val="left"/>
        <w:rPr>
          <w:rFonts w:ascii="Calibri" w:cs="Calibri" w:eastAsia="Calibri" w:hAnsi="Calibri"/>
          <w:b w:val="1"/>
          <w:sz w:val="24"/>
          <w:szCs w:val="24"/>
          <w:u w:val="single"/>
        </w:rPr>
      </w:pPr>
      <w:bookmarkStart w:colFirst="0" w:colLast="0" w:name="_heading=h.jy6fxglxkk9" w:id="6"/>
      <w:bookmarkEnd w:id="6"/>
      <w:r w:rsidDel="00000000" w:rsidR="00000000" w:rsidRPr="00000000">
        <w:rPr>
          <w:rtl w:val="0"/>
        </w:rPr>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DB">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12.. DA PUBLICAÇÃO</w:t>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C">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O Ente Público publicará extrato deste TCC no meio oficial de publicidade da administração pública, após a assinatura, para que se inicie a produção de seus efeitos.</w:t>
            </w:r>
          </w:p>
        </w:tc>
      </w:tr>
    </w:tbl>
    <w:p w:rsidR="00000000" w:rsidDel="00000000" w:rsidP="00000000" w:rsidRDefault="00000000" w:rsidRPr="00000000" w14:paraId="000000DD">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DE">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13. DO FORO</w:t>
            </w:r>
          </w:p>
        </w:tc>
      </w:tr>
      <w:tr>
        <w:trPr>
          <w:cantSplit w:val="0"/>
          <w:trHeight w:val="106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F">
            <w:pPr>
              <w:shd w:fill="ffffff" w:val="clear"/>
              <w:spacing w:after="120" w:before="120" w:line="276" w:lineRule="auto"/>
              <w:jc w:val="both"/>
              <w:rPr>
                <w:rFonts w:ascii="Calibri" w:cs="Calibri" w:eastAsia="Calibri" w:hAnsi="Calibri"/>
                <w:color w:val="ff0000"/>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As partes comprometem-se a submeter eventuais controvérsias decorrentes do presente ajuste à prévia tentativa de solução administrativa. As controvérsias que não possam ser resolvidas administrativamente serão submetidas ao foro da Justiça de Petrópolis - RJ</w:t>
            </w:r>
            <w:r w:rsidDel="00000000" w:rsidR="00000000" w:rsidRPr="00000000">
              <w:rPr>
                <w:rtl w:val="0"/>
              </w:rPr>
            </w:r>
          </w:p>
        </w:tc>
      </w:tr>
    </w:tbl>
    <w:p w:rsidR="00000000" w:rsidDel="00000000" w:rsidP="00000000" w:rsidRDefault="00000000" w:rsidRPr="00000000" w14:paraId="000000E0">
      <w:pPr>
        <w:shd w:fill="ffffff" w:val="clear"/>
        <w:spacing w:after="240" w:before="240" w:lineRule="auto"/>
        <w:jc w:val="center"/>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3.236884546059"/>
        <w:gridCol w:w="4662.274926477565"/>
        <w:tblGridChange w:id="0">
          <w:tblGrid>
            <w:gridCol w:w="4363.236884546059"/>
            <w:gridCol w:w="4662.274926477565"/>
          </w:tblGrid>
        </w:tblGridChange>
      </w:tblGrid>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E1">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14. DATA E ASSINATURAS</w:t>
            </w:r>
          </w:p>
        </w:tc>
      </w:tr>
      <w:tr>
        <w:trPr>
          <w:cantSplit w:val="0"/>
          <w:trHeight w:val="855" w:hRule="atLeast"/>
          <w:tblHeader w:val="0"/>
        </w:trPr>
        <w:tc>
          <w:tcPr>
            <w:gridSpan w:val="2"/>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3">
            <w:pPr>
              <w:shd w:fill="ffffff" w:val="clear"/>
              <w:spacing w:after="120" w:before="120" w:line="276" w:lineRule="auto"/>
              <w:jc w:val="both"/>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E, por assim estarem plenamente de acordo, as partes obrigam-se ao total cumprimento dos termos do presente instrumento.</w:t>
            </w:r>
          </w:p>
        </w:tc>
      </w:tr>
      <w:tr>
        <w:trPr>
          <w:cantSplit w:val="0"/>
          <w:trHeight w:val="169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5">
            <w:pPr>
              <w:shd w:fill="ffffff" w:val="clear"/>
              <w:spacing w:after="120" w:before="120" w:line="276" w:lineRule="auto"/>
              <w:jc w:val="center"/>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6">
            <w:pPr>
              <w:shd w:fill="ffffff" w:val="clear"/>
              <w:spacing w:after="120" w:before="120" w:line="276" w:lineRule="auto"/>
              <w:jc w:val="center"/>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NOME</w:t>
            </w:r>
          </w:p>
          <w:p w:rsidR="00000000" w:rsidDel="00000000" w:rsidP="00000000" w:rsidRDefault="00000000" w:rsidRPr="00000000" w14:paraId="000000E7">
            <w:pPr>
              <w:shd w:fill="ffffff" w:val="clear"/>
              <w:spacing w:after="120" w:before="120" w:line="276" w:lineRule="auto"/>
              <w:jc w:val="center"/>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CARGO</w:t>
            </w:r>
          </w:p>
          <w:p w:rsidR="00000000" w:rsidDel="00000000" w:rsidP="00000000" w:rsidRDefault="00000000" w:rsidRPr="00000000" w14:paraId="000000E8">
            <w:pPr>
              <w:shd w:fill="ffffff" w:val="clear"/>
              <w:spacing w:after="120" w:before="120" w:line="276" w:lineRule="auto"/>
              <w:jc w:val="center"/>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Representante legal da entidade cultural</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9">
            <w:pPr>
              <w:shd w:fill="ffffff" w:val="clear"/>
              <w:spacing w:after="120" w:before="120" w:line="276" w:lineRule="auto"/>
              <w:jc w:val="center"/>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A">
            <w:pPr>
              <w:shd w:fill="ffffff" w:val="clear"/>
              <w:spacing w:after="120" w:before="120" w:line="276" w:lineRule="auto"/>
              <w:jc w:val="center"/>
              <w:rPr>
                <w:rFonts w:ascii="Calibri" w:cs="Calibri" w:eastAsia="Calibri" w:hAnsi="Calibri"/>
                <w:sz w:val="24"/>
                <w:szCs w:val="24"/>
              </w:rPr>
            </w:pPr>
            <w:bookmarkStart w:colFirst="0" w:colLast="0" w:name="_heading=h.jy6fxglxkk9" w:id="6"/>
            <w:bookmarkEnd w:id="6"/>
            <w:r w:rsidDel="00000000" w:rsidR="00000000" w:rsidRPr="00000000">
              <w:rPr>
                <w:rFonts w:ascii="Calibri" w:cs="Calibri" w:eastAsia="Calibri" w:hAnsi="Calibri"/>
                <w:sz w:val="24"/>
                <w:szCs w:val="24"/>
                <w:rtl w:val="0"/>
              </w:rPr>
              <w:t xml:space="preserve">Representante legal do órgão ou entidade pública</w:t>
            </w:r>
          </w:p>
        </w:tc>
      </w:tr>
    </w:tbl>
    <w:p w:rsidR="00000000" w:rsidDel="00000000" w:rsidP="00000000" w:rsidRDefault="00000000" w:rsidRPr="00000000" w14:paraId="000000EB">
      <w:pPr>
        <w:shd w:fill="ffffff" w:val="clear"/>
        <w:spacing w:after="120" w:before="120" w:line="276" w:lineRule="auto"/>
        <w:jc w:val="both"/>
        <w:rPr>
          <w:rFonts w:ascii="Calibri" w:cs="Calibri" w:eastAsia="Calibri" w:hAnsi="Calibri"/>
          <w:b w:val="1"/>
          <w:sz w:val="24"/>
          <w:szCs w:val="24"/>
          <w:u w:val="single"/>
        </w:rPr>
      </w:pPr>
      <w:bookmarkStart w:colFirst="0" w:colLast="0" w:name="_heading=h.jy6fxglxkk9" w:id="6"/>
      <w:bookmarkEnd w:id="6"/>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EC">
      <w:pPr>
        <w:shd w:fill="ffffff" w:val="clear"/>
        <w:spacing w:after="240" w:before="240" w:line="276" w:lineRule="auto"/>
        <w:jc w:val="center"/>
        <w:rPr>
          <w:rFonts w:ascii="Calibri" w:cs="Calibri" w:eastAsia="Calibri" w:hAnsi="Calibri"/>
          <w:b w:val="1"/>
          <w:sz w:val="24"/>
          <w:szCs w:val="24"/>
        </w:rPr>
      </w:pPr>
      <w:bookmarkStart w:colFirst="0" w:colLast="0" w:name="_heading=h.jy6fxglxkk9" w:id="6"/>
      <w:bookmarkEnd w:id="6"/>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428625</wp:posOffset>
          </wp:positionH>
          <wp:positionV relativeFrom="paragraph">
            <wp:posOffset>9526</wp:posOffset>
          </wp:positionV>
          <wp:extent cx="1181100" cy="523875"/>
          <wp:effectExtent b="0" l="0" r="0" t="0"/>
          <wp:wrapNone/>
          <wp:docPr id="28" name="image2.png"/>
          <a:graphic>
            <a:graphicData uri="http://schemas.openxmlformats.org/drawingml/2006/picture">
              <pic:pic>
                <pic:nvPicPr>
                  <pic:cNvPr id="0" name="image2.png"/>
                  <pic:cNvPicPr preferRelativeResize="0"/>
                </pic:nvPicPr>
                <pic:blipFill>
                  <a:blip r:embed="rId1"/>
                  <a:srcRect b="0" l="0" r="-5084" t="0"/>
                  <a:stretch>
                    <a:fillRect/>
                  </a:stretch>
                </pic:blipFill>
                <pic:spPr>
                  <a:xfrm>
                    <a:off x="0" y="0"/>
                    <a:ext cx="1181100"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1333500</wp:posOffset>
          </wp:positionH>
          <wp:positionV relativeFrom="paragraph">
            <wp:posOffset>9525</wp:posOffset>
          </wp:positionV>
          <wp:extent cx="4011295" cy="519430"/>
          <wp:effectExtent b="0" l="0" r="0" t="0"/>
          <wp:wrapNone/>
          <wp:docPr id="27"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011295" cy="519430"/>
                  </a:xfrm>
                  <a:prstGeom prst="rect"/>
                  <a:ln/>
                </pic:spPr>
              </pic:pic>
            </a:graphicData>
          </a:graphic>
        </wp:anchor>
      </w:drawing>
    </w:r>
  </w:p>
  <w:p w:rsidR="00000000" w:rsidDel="00000000" w:rsidP="00000000" w:rsidRDefault="00000000" w:rsidRPr="00000000" w14:paraId="000000EE">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317500</wp:posOffset>
              </wp:positionV>
              <wp:extent cx="5865495" cy="69850"/>
              <wp:effectExtent b="0" l="0" r="0" t="0"/>
              <wp:wrapNone/>
              <wp:docPr id="26"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317500</wp:posOffset>
              </wp:positionV>
              <wp:extent cx="5865495" cy="69850"/>
              <wp:effectExtent b="0" l="0" r="0" t="0"/>
              <wp:wrapNone/>
              <wp:docPr id="2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865495" cy="698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3448FC"/>
    <w:pPr>
      <w:tabs>
        <w:tab w:val="center" w:pos="4252"/>
        <w:tab w:val="right" w:pos="8504"/>
      </w:tabs>
      <w:spacing w:line="240" w:lineRule="auto"/>
    </w:pPr>
  </w:style>
  <w:style w:type="character" w:styleId="CabealhoChar" w:customStyle="1">
    <w:name w:val="Cabeçalho Char"/>
    <w:basedOn w:val="Fontepargpadro"/>
    <w:link w:val="Cabealho"/>
    <w:uiPriority w:val="99"/>
    <w:rsid w:val="003448FC"/>
  </w:style>
  <w:style w:type="paragraph" w:styleId="Rodap">
    <w:name w:val="footer"/>
    <w:basedOn w:val="Normal"/>
    <w:link w:val="RodapChar"/>
    <w:uiPriority w:val="99"/>
    <w:unhideWhenUsed w:val="1"/>
    <w:rsid w:val="003448FC"/>
    <w:pPr>
      <w:tabs>
        <w:tab w:val="center" w:pos="4252"/>
        <w:tab w:val="right" w:pos="8504"/>
      </w:tabs>
      <w:spacing w:line="240" w:lineRule="auto"/>
    </w:pPr>
  </w:style>
  <w:style w:type="character" w:styleId="RodapChar" w:customStyle="1">
    <w:name w:val="Rodapé Char"/>
    <w:basedOn w:val="Fontepargpadro"/>
    <w:link w:val="Rodap"/>
    <w:uiPriority w:val="99"/>
    <w:rsid w:val="003448FC"/>
  </w:style>
  <w:style w:type="paragraph" w:styleId="PargrafodaLista">
    <w:name w:val="List Paragraph"/>
    <w:basedOn w:val="Normal"/>
    <w:uiPriority w:val="34"/>
    <w:qFormat w:val="1"/>
    <w:rsid w:val="008F7904"/>
    <w:pPr>
      <w:ind w:left="720"/>
      <w:contextualSpacing w:val="1"/>
    </w:pPr>
  </w:style>
  <w:style w:type="table" w:styleId="Tabelacomgrade">
    <w:name w:val="Table Grid"/>
    <w:basedOn w:val="Tabelanormal"/>
    <w:uiPriority w:val="39"/>
    <w:rsid w:val="000839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nTDptr6EwbXXVVhqUB3yb7HoA==">CgMxLjAyCGguZ2pkZ3hzMg5oLjF6eHNtem5rMjlyZTIOaC54aHBwZDhuamJ1cW8yDWgueDUwYmZhZWZ2OHIyDmguYWdjMWcxdXFmamN5Mg5oLmF6MGw0dngyajloZz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OaC51MGR4NGNhNHpqNGs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INaC5qeTZmeGdseGtrOTgAciExajM4czVhMXp0cEtBbEtWc183N293MUhfSDliUERMM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2024-06-05T13:15:00Z</dcterms:created>
  <dc:creator>Leonardo Cerqueira</dc:creator>
</cp:coreProperties>
</file>