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DE CULTURA DE PETRÓPOLIS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03/2024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76" w:lineRule="auto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br2x7bjb0ds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bookmarkStart w:colFirst="0" w:colLast="0" w:name="_heading=h.az0l4vx2j9hg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VIII - FORMULÁRIO PARA PEDIDO DE RECURSO</w:t>
      </w:r>
    </w:p>
    <w:p w:rsidR="00000000" w:rsidDel="00000000" w:rsidP="00000000" w:rsidRDefault="00000000" w:rsidRPr="00000000" w14:paraId="00000009">
      <w:pP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(PARA AS ETAPA DE SELEÇÃO E ETAPA DE HABILITAÇÃO)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760.742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240" w:before="240" w:line="276" w:lineRule="auto"/>
              <w:ind w:left="-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240" w:before="240" w:line="276" w:lineRule="auto"/>
              <w:ind w:left="-6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C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D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0E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F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before="24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2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12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466725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1428750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5970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5Y2/SumCqlBCOPi7sRyCZy4y8g==">CgMxLjAyCGguZ2pkZ3hzMg5oLmJyMng3YmpiMGRzdDIOaC5hejBsNHZ4Mmo5aGc4AHIhMTMzcnhESFk4ZThHcmdmaldqTHBjUElxckZJZGxuSGJV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