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06/2024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ESPAÇO, AMBIENTES E INICIATIVAS ARTÍSTICO-CULTURAIS PARA RECEBEREM SUBSÍDIO PARA MANUTENÇÃO, COM RECURSOS DA POLÍTICA NACIONAL ALDIR BLANC DE FOMENTO À CULTURA – PNAB (LEI Nº 14.399/2022)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ANEXO V</w:t>
      </w:r>
      <w:r w:rsidDel="00000000" w:rsidR="00000000" w:rsidRPr="00000000">
        <w:rPr>
          <w:rFonts w:ascii="Calibri" w:cs="Calibri" w:eastAsia="Calibri" w:hAnsi="Calibri"/>
          <w:smallCaps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- RELATÓRIO DE OBJETO DE EXECUÇÃO CULTURAL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1. DADOS DO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Valor total repassado: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2.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sz w:val="27"/>
          <w:szCs w:val="27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5.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6">
      <w:pPr>
        <w:spacing w:after="280"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8. CONTRAPARTIDA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10. ANEXOS 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68">
      <w:pPr>
        <w:spacing w:after="120" w:before="12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9528</wp:posOffset>
          </wp:positionV>
          <wp:extent cx="1181100" cy="523875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ZC/XeYvSsh5Eiywy776iA/k5JA==">CgMxLjA4AHIhMW5HVllyTWhVa0x1MGZPNnRQQ0pCdzFISzVZQ3NET1g2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